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DECA7" w14:textId="77777777" w:rsidR="00916EF6" w:rsidRPr="00CC0A12" w:rsidRDefault="007F2439" w:rsidP="00916EF6">
      <w:pPr>
        <w:pStyle w:val="CRCoverPage"/>
        <w:tabs>
          <w:tab w:val="right" w:pos="9639"/>
        </w:tabs>
        <w:spacing w:after="0"/>
        <w:rPr>
          <w:b/>
          <w:i/>
          <w:sz w:val="28"/>
          <w:lang w:val="en-US"/>
        </w:rPr>
      </w:pPr>
      <w:bookmarkStart w:id="0" w:name="_Toc502932909"/>
      <w:r w:rsidRPr="007F2439">
        <w:rPr>
          <w:b/>
          <w:noProof/>
          <w:sz w:val="24"/>
        </w:rPr>
        <w:t>3GPP TSG-RAN WG4 Meeting #112</w:t>
      </w:r>
      <w:r w:rsidR="00916EF6" w:rsidRPr="00CC0A12">
        <w:rPr>
          <w:b/>
          <w:i/>
          <w:sz w:val="28"/>
        </w:rPr>
        <w:tab/>
      </w:r>
      <w:r w:rsidR="00916EF6" w:rsidRPr="00CC0A12">
        <w:rPr>
          <w:rFonts w:hint="eastAsia"/>
          <w:b/>
          <w:sz w:val="28"/>
          <w:lang w:val="en-US" w:eastAsia="zh-CN"/>
        </w:rPr>
        <w:t>R4-</w:t>
      </w:r>
      <w:r w:rsidR="00916EF6" w:rsidRPr="00CC0A12">
        <w:rPr>
          <w:b/>
          <w:sz w:val="28"/>
          <w:lang w:val="en-US" w:eastAsia="zh-CN"/>
        </w:rPr>
        <w:t>2</w:t>
      </w:r>
      <w:r w:rsidR="00034E3D">
        <w:rPr>
          <w:b/>
          <w:sz w:val="28"/>
          <w:lang w:val="en-US" w:eastAsia="zh-CN"/>
        </w:rPr>
        <w:t>4</w:t>
      </w:r>
      <w:r w:rsidR="00954E58">
        <w:rPr>
          <w:b/>
          <w:sz w:val="28"/>
          <w:lang w:val="en-US" w:eastAsia="zh-CN"/>
        </w:rPr>
        <w:t>11</w:t>
      </w:r>
      <w:r w:rsidR="00F44552">
        <w:rPr>
          <w:b/>
          <w:sz w:val="28"/>
          <w:lang w:val="en-US" w:eastAsia="zh-CN"/>
        </w:rPr>
        <w:t>505</w:t>
      </w:r>
    </w:p>
    <w:p w14:paraId="6FDC68F4" w14:textId="77777777" w:rsidR="00405020" w:rsidRDefault="007F2439" w:rsidP="00405020">
      <w:pPr>
        <w:pStyle w:val="CRCoverPage"/>
        <w:outlineLvl w:val="0"/>
        <w:rPr>
          <w:b/>
          <w:noProof/>
          <w:sz w:val="24"/>
        </w:rPr>
      </w:pPr>
      <w:r w:rsidRPr="007F2439">
        <w:rPr>
          <w:b/>
          <w:noProof/>
          <w:sz w:val="24"/>
        </w:rPr>
        <w:t>Maastricht, Netherlands, 19 – 23 August, 2024</w:t>
      </w:r>
    </w:p>
    <w:p w14:paraId="75B351DF" w14:textId="36E90D8C" w:rsidR="00571C34" w:rsidRPr="00CC0A12" w:rsidRDefault="00571C34">
      <w:pPr>
        <w:pStyle w:val="af2"/>
        <w:tabs>
          <w:tab w:val="left" w:pos="2155"/>
        </w:tabs>
        <w:spacing w:after="120"/>
        <w:ind w:left="2610" w:hanging="2610"/>
        <w:jc w:val="both"/>
        <w:rPr>
          <w:sz w:val="24"/>
          <w:szCs w:val="24"/>
          <w:lang w:val="en-US" w:eastAsia="zh-CN"/>
        </w:rPr>
      </w:pPr>
      <w:r w:rsidRPr="00CC0A12">
        <w:rPr>
          <w:sz w:val="24"/>
          <w:szCs w:val="24"/>
          <w:lang w:eastAsia="zh-CN"/>
        </w:rPr>
        <w:t>Agenda Item:</w:t>
      </w:r>
      <w:r w:rsidRPr="00CC0A12">
        <w:rPr>
          <w:rFonts w:hint="eastAsia"/>
          <w:sz w:val="24"/>
          <w:szCs w:val="24"/>
          <w:lang w:eastAsia="zh-CN"/>
        </w:rPr>
        <w:tab/>
      </w:r>
      <w:r w:rsidR="00656844">
        <w:rPr>
          <w:b w:val="0"/>
          <w:sz w:val="24"/>
          <w:szCs w:val="24"/>
          <w:lang w:val="en-US" w:eastAsia="zh-CN"/>
        </w:rPr>
        <w:t>8</w:t>
      </w:r>
      <w:r w:rsidR="002C2EA4">
        <w:rPr>
          <w:b w:val="0"/>
          <w:sz w:val="24"/>
          <w:szCs w:val="24"/>
          <w:lang w:val="en-US" w:eastAsia="zh-CN"/>
        </w:rPr>
        <w:t>.</w:t>
      </w:r>
      <w:r w:rsidR="00844C57">
        <w:rPr>
          <w:b w:val="0"/>
          <w:sz w:val="24"/>
          <w:szCs w:val="24"/>
          <w:lang w:val="en-US" w:eastAsia="zh-CN"/>
        </w:rPr>
        <w:t>8</w:t>
      </w:r>
      <w:r w:rsidR="002C2EA4">
        <w:rPr>
          <w:b w:val="0"/>
          <w:sz w:val="24"/>
          <w:szCs w:val="24"/>
          <w:lang w:val="en-US" w:eastAsia="zh-CN"/>
        </w:rPr>
        <w:t>.</w:t>
      </w:r>
      <w:r w:rsidR="00844C57">
        <w:rPr>
          <w:b w:val="0"/>
          <w:sz w:val="24"/>
          <w:szCs w:val="24"/>
          <w:lang w:val="en-US" w:eastAsia="zh-CN"/>
        </w:rPr>
        <w:t>2</w:t>
      </w:r>
    </w:p>
    <w:p w14:paraId="7B58D451" w14:textId="77777777" w:rsidR="00571C34" w:rsidRPr="00CC0A12" w:rsidRDefault="00571C34">
      <w:pPr>
        <w:pStyle w:val="af2"/>
        <w:tabs>
          <w:tab w:val="left" w:pos="2165"/>
        </w:tabs>
        <w:spacing w:after="120"/>
        <w:ind w:left="2127" w:hanging="2127"/>
        <w:jc w:val="both"/>
        <w:rPr>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19D60E74" w14:textId="77777777" w:rsidR="00571C34" w:rsidRDefault="00571C34">
      <w:pPr>
        <w:pStyle w:val="af2"/>
        <w:spacing w:after="120"/>
        <w:ind w:left="2127" w:hanging="2127"/>
        <w:jc w:val="both"/>
        <w:rPr>
          <w:b w:val="0"/>
          <w:lang w:val="en-US" w:eastAsia="zh-CN"/>
        </w:rPr>
      </w:pPr>
      <w:r>
        <w:rPr>
          <w:sz w:val="24"/>
          <w:szCs w:val="24"/>
          <w:lang w:val="en-US" w:eastAsia="zh-CN"/>
        </w:rPr>
        <w:t>Title:</w:t>
      </w:r>
      <w:r>
        <w:rPr>
          <w:rFonts w:hint="eastAsia"/>
          <w:sz w:val="24"/>
          <w:szCs w:val="24"/>
          <w:lang w:val="en-US" w:eastAsia="zh-CN"/>
        </w:rPr>
        <w:tab/>
      </w:r>
      <w:r w:rsidR="00E94FD0" w:rsidRPr="00E94FD0">
        <w:rPr>
          <w:b w:val="0"/>
          <w:bCs/>
          <w:sz w:val="24"/>
          <w:szCs w:val="24"/>
          <w:lang w:val="en-US" w:eastAsia="zh-CN"/>
        </w:rPr>
        <w:t>Discussion on RF requirements in NR_IoT_NTN_req_test_enh WI for NTN HPUE</w:t>
      </w:r>
    </w:p>
    <w:p w14:paraId="43F548B0" w14:textId="77777777" w:rsidR="00571C34" w:rsidRDefault="00571C34">
      <w:pPr>
        <w:pStyle w:val="af2"/>
        <w:tabs>
          <w:tab w:val="left" w:pos="2160"/>
        </w:tabs>
        <w:spacing w:after="120"/>
        <w:ind w:left="2610" w:hanging="2610"/>
        <w:jc w:val="both"/>
        <w:rPr>
          <w:sz w:val="24"/>
          <w:szCs w:val="24"/>
          <w:lang w:val="en-US" w:eastAsia="zh-CN"/>
        </w:rPr>
      </w:pPr>
      <w:r>
        <w:rPr>
          <w:sz w:val="24"/>
          <w:szCs w:val="24"/>
          <w:lang w:eastAsia="zh-CN"/>
        </w:rPr>
        <w:t>Document for:</w:t>
      </w:r>
      <w:r>
        <w:rPr>
          <w:rFonts w:hint="eastAsia"/>
          <w:sz w:val="24"/>
          <w:szCs w:val="24"/>
          <w:lang w:eastAsia="zh-CN"/>
        </w:rPr>
        <w:tab/>
      </w:r>
      <w:r w:rsidR="006A0722">
        <w:rPr>
          <w:b w:val="0"/>
          <w:sz w:val="24"/>
          <w:szCs w:val="24"/>
          <w:lang w:eastAsia="zh-CN"/>
        </w:rPr>
        <w:t>Discussion</w:t>
      </w:r>
    </w:p>
    <w:p w14:paraId="33F26BE5" w14:textId="77777777" w:rsidR="00571C34" w:rsidRDefault="00571C34">
      <w:pPr>
        <w:pStyle w:val="af2"/>
        <w:tabs>
          <w:tab w:val="left" w:pos="2160"/>
        </w:tabs>
        <w:spacing w:after="120"/>
        <w:jc w:val="both"/>
        <w:rPr>
          <w:sz w:val="20"/>
          <w:lang w:eastAsia="zh-CN"/>
        </w:rPr>
      </w:pPr>
      <w:r>
        <w:rPr>
          <w:rFonts w:hint="eastAsia"/>
          <w:sz w:val="20"/>
          <w:lang w:eastAsia="zh-CN"/>
        </w:rPr>
        <w:t xml:space="preserve"> </w:t>
      </w:r>
    </w:p>
    <w:p w14:paraId="7621EF81"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0EEE145D" w14:textId="77777777" w:rsidR="00006516" w:rsidRDefault="005E33E9" w:rsidP="00A12C85">
      <w:pPr>
        <w:jc w:val="both"/>
        <w:rPr>
          <w:szCs w:val="22"/>
          <w:lang w:eastAsia="zh-CN"/>
        </w:rPr>
      </w:pPr>
      <w:bookmarkStart w:id="1" w:name="OLE_LINK91"/>
      <w:bookmarkStart w:id="2" w:name="OLE_LINK90"/>
      <w:bookmarkStart w:id="3" w:name="OLE_LINK6"/>
      <w:r w:rsidRPr="005E33E9">
        <w:rPr>
          <w:szCs w:val="22"/>
          <w:lang w:eastAsia="zh-CN"/>
        </w:rPr>
        <w:t>In RAN#103 plenary meeting, the WID on enhanced requirements and test methodology for NR and IoT NTN was approved in [1]. One of the main objectives is to enable high power UE (HPUE) with defining RF requirements targeting at support of NR and IoT NTN UEs for FR1 single carrier scenario.</w:t>
      </w:r>
      <w:r w:rsidR="00035F1F">
        <w:rPr>
          <w:szCs w:val="22"/>
          <w:lang w:eastAsia="zh-CN"/>
        </w:rPr>
        <w:t xml:space="preserve"> </w:t>
      </w:r>
      <w:bookmarkStart w:id="4" w:name="OLE_LINK586"/>
      <w:r w:rsidR="00035F1F">
        <w:rPr>
          <w:szCs w:val="22"/>
          <w:lang w:eastAsia="zh-CN"/>
        </w:rPr>
        <w:t>Before defining the UE RF requirements, the coexistence analysis would be completed to derive the ACLR and ACS.</w:t>
      </w:r>
      <w:bookmarkEnd w:id="4"/>
    </w:p>
    <w:p w14:paraId="5E8FE7DC" w14:textId="77777777" w:rsidR="00C579E7" w:rsidRDefault="00E316BF" w:rsidP="00A12C85">
      <w:pPr>
        <w:jc w:val="both"/>
        <w:rPr>
          <w:szCs w:val="22"/>
          <w:lang w:eastAsia="zh-CN"/>
        </w:rPr>
      </w:pPr>
      <w:r w:rsidRPr="00E316BF">
        <w:rPr>
          <w:szCs w:val="22"/>
          <w:lang w:eastAsia="zh-CN"/>
        </w:rPr>
        <w:t xml:space="preserve">In this contribution, </w:t>
      </w:r>
      <w:bookmarkStart w:id="5" w:name="OLE_LINK246"/>
      <w:bookmarkStart w:id="6" w:name="OLE_LINK602"/>
      <w:r w:rsidRPr="00E316BF">
        <w:rPr>
          <w:szCs w:val="22"/>
          <w:lang w:eastAsia="zh-CN"/>
        </w:rPr>
        <w:t xml:space="preserve">our </w:t>
      </w:r>
      <w:r w:rsidR="0016163E">
        <w:rPr>
          <w:szCs w:val="22"/>
          <w:lang w:eastAsia="zh-CN"/>
        </w:rPr>
        <w:t>views</w:t>
      </w:r>
      <w:r w:rsidRPr="00E316BF">
        <w:rPr>
          <w:szCs w:val="22"/>
          <w:lang w:eastAsia="zh-CN"/>
        </w:rPr>
        <w:t xml:space="preserve"> about </w:t>
      </w:r>
      <w:r w:rsidR="00570E29">
        <w:rPr>
          <w:szCs w:val="22"/>
          <w:lang w:eastAsia="zh-CN"/>
        </w:rPr>
        <w:t>RF requirements</w:t>
      </w:r>
      <w:r w:rsidRPr="00E316BF">
        <w:rPr>
          <w:szCs w:val="22"/>
          <w:lang w:eastAsia="zh-CN"/>
        </w:rPr>
        <w:t xml:space="preserve"> </w:t>
      </w:r>
      <w:r w:rsidR="00570E29">
        <w:rPr>
          <w:szCs w:val="22"/>
          <w:lang w:eastAsia="zh-CN"/>
        </w:rPr>
        <w:t xml:space="preserve">in WI [1] </w:t>
      </w:r>
      <w:r w:rsidR="0016163E">
        <w:rPr>
          <w:szCs w:val="22"/>
          <w:lang w:eastAsia="zh-CN"/>
        </w:rPr>
        <w:t>are</w:t>
      </w:r>
      <w:r w:rsidRPr="00E316BF">
        <w:rPr>
          <w:szCs w:val="22"/>
          <w:lang w:eastAsia="zh-CN"/>
        </w:rPr>
        <w:t xml:space="preserve"> provided </w:t>
      </w:r>
      <w:bookmarkEnd w:id="5"/>
      <w:r w:rsidRPr="00E316BF">
        <w:rPr>
          <w:szCs w:val="22"/>
          <w:lang w:eastAsia="zh-CN"/>
        </w:rPr>
        <w:t>for discussion</w:t>
      </w:r>
      <w:bookmarkEnd w:id="6"/>
      <w:r w:rsidRPr="00E316BF">
        <w:rPr>
          <w:szCs w:val="22"/>
          <w:lang w:eastAsia="zh-CN"/>
        </w:rPr>
        <w:t>.</w:t>
      </w:r>
    </w:p>
    <w:bookmarkEnd w:id="1"/>
    <w:bookmarkEnd w:id="2"/>
    <w:bookmarkEnd w:id="3"/>
    <w:p w14:paraId="51BEC5FA"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1EBDE69B" w14:textId="77777777" w:rsidR="0016163E" w:rsidRDefault="0016163E" w:rsidP="0016163E">
      <w:pPr>
        <w:rPr>
          <w:b/>
          <w:lang w:eastAsia="zh-CN"/>
        </w:rPr>
      </w:pPr>
      <w:r>
        <w:rPr>
          <w:b/>
          <w:lang w:eastAsia="zh-CN"/>
        </w:rPr>
        <w:t>2.1</w:t>
      </w:r>
      <w:r>
        <w:rPr>
          <w:b/>
          <w:lang w:eastAsia="zh-CN"/>
        </w:rPr>
        <w:tab/>
      </w:r>
      <w:r>
        <w:rPr>
          <w:b/>
          <w:lang w:eastAsia="zh-CN"/>
        </w:rPr>
        <w:tab/>
      </w:r>
      <w:r w:rsidR="000E7850">
        <w:rPr>
          <w:b/>
          <w:lang w:eastAsia="zh-CN"/>
        </w:rPr>
        <w:t xml:space="preserve">WI Core-part requirements  </w:t>
      </w:r>
      <w:r>
        <w:rPr>
          <w:rFonts w:ascii="新細明體" w:eastAsia="新細明體" w:hAnsi="新細明體" w:hint="eastAsia"/>
          <w:b/>
          <w:lang w:eastAsia="zh-TW"/>
        </w:rPr>
        <w:t xml:space="preserve"> </w:t>
      </w:r>
    </w:p>
    <w:p w14:paraId="76449987" w14:textId="77777777" w:rsidR="0016163E" w:rsidRDefault="0016163E" w:rsidP="0016163E">
      <w:pPr>
        <w:rPr>
          <w:rFonts w:eastAsia="新細明體"/>
          <w:lang w:eastAsia="zh-TW"/>
        </w:rPr>
      </w:pPr>
      <w:bookmarkStart w:id="7"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7"/>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16163E" w14:paraId="4FF174E0" w14:textId="77777777" w:rsidTr="0016163E">
        <w:tc>
          <w:tcPr>
            <w:tcW w:w="9695" w:type="dxa"/>
            <w:tcBorders>
              <w:top w:val="single" w:sz="4" w:space="0" w:color="auto"/>
              <w:left w:val="single" w:sz="4" w:space="0" w:color="auto"/>
              <w:bottom w:val="single" w:sz="4" w:space="0" w:color="auto"/>
              <w:right w:val="single" w:sz="4" w:space="0" w:color="auto"/>
            </w:tcBorders>
          </w:tcPr>
          <w:p w14:paraId="40C2CC59" w14:textId="77777777" w:rsidR="0016163E" w:rsidRDefault="0016163E" w:rsidP="0016163E">
            <w:pPr>
              <w:pStyle w:val="afb"/>
              <w:widowControl w:val="0"/>
              <w:numPr>
                <w:ilvl w:val="0"/>
                <w:numId w:val="40"/>
              </w:numPr>
              <w:ind w:firstLineChars="0"/>
              <w:rPr>
                <w:rFonts w:ascii="Times New Roman" w:hAnsi="Times New Roman" w:cs="Times New Roman"/>
                <w:sz w:val="20"/>
                <w:szCs w:val="20"/>
              </w:rPr>
            </w:pPr>
            <w:bookmarkStart w:id="8" w:name="OLE_LINK587"/>
            <w:r>
              <w:rPr>
                <w:rFonts w:ascii="Times New Roman" w:hAnsi="Times New Roman" w:cs="Times New Roman"/>
                <w:sz w:val="20"/>
                <w:szCs w:val="20"/>
              </w:rPr>
              <w:t xml:space="preserve">Conduct the </w:t>
            </w:r>
            <w:r w:rsidRPr="00A90352">
              <w:rPr>
                <w:rFonts w:ascii="Times New Roman" w:hAnsi="Times New Roman" w:cs="Times New Roman"/>
                <w:sz w:val="20"/>
                <w:szCs w:val="20"/>
                <w:highlight w:val="cyan"/>
              </w:rPr>
              <w:t>coexistence analysis based on TR 38.863</w:t>
            </w:r>
            <w:bookmarkEnd w:id="8"/>
            <w:r>
              <w:rPr>
                <w:rFonts w:ascii="Times New Roman" w:hAnsi="Times New Roman" w:cs="Times New Roman"/>
                <w:sz w:val="20"/>
                <w:szCs w:val="20"/>
              </w:rPr>
              <w:t xml:space="preserve"> for the above example bands and corresponding power classes</w:t>
            </w:r>
          </w:p>
          <w:p w14:paraId="0C26595D"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bookmarkStart w:id="9" w:name="OLE_LINK588"/>
            <w:r>
              <w:rPr>
                <w:rFonts w:ascii="Times New Roman" w:hAnsi="Times New Roman" w:cs="Times New Roman"/>
                <w:sz w:val="20"/>
                <w:szCs w:val="20"/>
              </w:rPr>
              <w:t xml:space="preserve">Evaluate the </w:t>
            </w:r>
            <w:r w:rsidRPr="006C4070">
              <w:rPr>
                <w:rFonts w:ascii="Times New Roman" w:hAnsi="Times New Roman" w:cs="Times New Roman"/>
                <w:sz w:val="20"/>
                <w:szCs w:val="20"/>
                <w:highlight w:val="cyan"/>
              </w:rPr>
              <w:t>impact on the uplink performance of TN</w:t>
            </w:r>
            <w:bookmarkEnd w:id="9"/>
            <w:r>
              <w:rPr>
                <w:rFonts w:ascii="Times New Roman" w:hAnsi="Times New Roman" w:cs="Times New Roman"/>
                <w:sz w:val="20"/>
                <w:szCs w:val="20"/>
              </w:rPr>
              <w:t xml:space="preserve"> (Terrestrial network)</w:t>
            </w:r>
          </w:p>
          <w:p w14:paraId="363EEEE5" w14:textId="77777777" w:rsidR="006C4070" w:rsidRDefault="0016163E" w:rsidP="006C4070">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w:t>
            </w:r>
            <w:bookmarkStart w:id="10" w:name="OLE_LINK590"/>
            <w:r>
              <w:rPr>
                <w:rFonts w:ascii="Times New Roman" w:hAnsi="Times New Roman" w:cs="Times New Roman"/>
                <w:sz w:val="20"/>
                <w:szCs w:val="20"/>
              </w:rPr>
              <w:t>n256 and 256, n255 and 255</w:t>
            </w:r>
            <w:bookmarkEnd w:id="10"/>
          </w:p>
          <w:p w14:paraId="275FA42E" w14:textId="77777777" w:rsidR="0016163E" w:rsidRPr="006C4070" w:rsidRDefault="0016163E" w:rsidP="006C4070">
            <w:pPr>
              <w:pStyle w:val="afb"/>
              <w:widowControl w:val="0"/>
              <w:numPr>
                <w:ilvl w:val="2"/>
                <w:numId w:val="40"/>
              </w:numPr>
              <w:ind w:firstLineChars="0"/>
              <w:rPr>
                <w:rFonts w:ascii="Times New Roman" w:hAnsi="Times New Roman" w:cs="Times New Roman"/>
                <w:sz w:val="20"/>
                <w:szCs w:val="20"/>
              </w:rPr>
            </w:pPr>
            <w:bookmarkStart w:id="11" w:name="OLE_LINK591"/>
            <w:r w:rsidRPr="006C4070">
              <w:rPr>
                <w:rFonts w:ascii="Times New Roman" w:hAnsi="Times New Roman" w:cs="Times New Roman"/>
                <w:sz w:val="20"/>
                <w:szCs w:val="20"/>
              </w:rPr>
              <w:t xml:space="preserve">PC2, PC1.5 (for NR-NTN only) and PC1 will be </w:t>
            </w:r>
            <w:r w:rsidRPr="006C4070">
              <w:rPr>
                <w:rFonts w:ascii="Times New Roman" w:hAnsi="Times New Roman" w:cs="Times New Roman"/>
                <w:sz w:val="20"/>
                <w:szCs w:val="20"/>
                <w:highlight w:val="cyan"/>
              </w:rPr>
              <w:t>evaluated for ACLR and ACS</w:t>
            </w:r>
          </w:p>
          <w:bookmarkEnd w:id="11"/>
          <w:p w14:paraId="1B2A3C26"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3E524390" w14:textId="77777777" w:rsidR="0016163E" w:rsidRDefault="0016163E">
            <w:pPr>
              <w:pStyle w:val="afb"/>
              <w:widowControl w:val="0"/>
              <w:ind w:left="1260" w:firstLineChars="0" w:firstLine="0"/>
              <w:rPr>
                <w:rFonts w:ascii="Times New Roman" w:hAnsi="Times New Roman" w:cs="Times New Roman"/>
                <w:sz w:val="20"/>
                <w:szCs w:val="20"/>
              </w:rPr>
            </w:pPr>
          </w:p>
          <w:p w14:paraId="74F6C945" w14:textId="77777777" w:rsidR="0016163E" w:rsidRDefault="0016163E" w:rsidP="0016163E">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Specify high power UE (HPUE) for NR-NTN (Non-Terrestrial Networks) and IoT-NTN (NB-IoT and eMTC based NTN) in FR1-NTN bands and the corresponding LTE NTN bands for the single uplink (UL) carrier scenario</w:t>
            </w:r>
          </w:p>
          <w:p w14:paraId="3A9453BA"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675CE38E"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other power classes based on the co-existence and feasibility study</w:t>
            </w:r>
          </w:p>
          <w:p w14:paraId="7192A862"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Non-handheld UE is prioritized</w:t>
            </w:r>
          </w:p>
          <w:p w14:paraId="2252A3BA"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Specify RF requirements for all considered power classes for NR-NTN and IoT-NTN in FR1-NTN bands and the corresponding LTE NTN bands</w:t>
            </w:r>
          </w:p>
          <w:p w14:paraId="575FCE3E"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Tx requirements, at least including</w:t>
            </w:r>
          </w:p>
          <w:p w14:paraId="1177F8CB" w14:textId="77777777" w:rsidR="0016163E" w:rsidRDefault="0016163E" w:rsidP="0016163E">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Investigate and if necessary, specify the solution to address potential SAR (Specific Absorption Rate restriction) requirements for handheld UE</w:t>
            </w:r>
          </w:p>
          <w:p w14:paraId="4290362C" w14:textId="77777777" w:rsidR="0016163E" w:rsidRPr="006C4070" w:rsidRDefault="0016163E" w:rsidP="0016163E">
            <w:pPr>
              <w:pStyle w:val="afb"/>
              <w:widowControl w:val="0"/>
              <w:numPr>
                <w:ilvl w:val="3"/>
                <w:numId w:val="40"/>
              </w:numPr>
              <w:ind w:firstLineChars="0"/>
              <w:rPr>
                <w:rFonts w:ascii="Times New Roman" w:hAnsi="Times New Roman" w:cs="Times New Roman"/>
                <w:sz w:val="20"/>
                <w:szCs w:val="20"/>
              </w:rPr>
            </w:pPr>
            <w:r w:rsidRPr="006C4070">
              <w:rPr>
                <w:rFonts w:ascii="Times New Roman" w:hAnsi="Times New Roman" w:cs="Times New Roman"/>
                <w:sz w:val="20"/>
                <w:szCs w:val="20"/>
              </w:rPr>
              <w:t>Specify MPR and A-MPR for the example bands considering the regulation for the corresponding bands, if necessary</w:t>
            </w:r>
          </w:p>
          <w:p w14:paraId="317B1931"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Necessary Rx requirements, at least including</w:t>
            </w:r>
          </w:p>
          <w:p w14:paraId="5A823328" w14:textId="77777777" w:rsidR="0016163E" w:rsidRDefault="0016163E" w:rsidP="0016163E">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tc>
      </w:tr>
    </w:tbl>
    <w:p w14:paraId="7D1D8C10" w14:textId="77777777" w:rsidR="00AA6B3C" w:rsidRDefault="00AA6B3C" w:rsidP="0016163E">
      <w:pPr>
        <w:rPr>
          <w:rFonts w:eastAsia="新細明體"/>
          <w:lang w:eastAsia="zh-TW"/>
        </w:rPr>
      </w:pPr>
    </w:p>
    <w:p w14:paraId="71934815" w14:textId="77777777" w:rsidR="00570E29" w:rsidRDefault="00570E29" w:rsidP="00AA6B3C">
      <w:r>
        <w:rPr>
          <w:rFonts w:eastAsia="新細明體"/>
          <w:lang w:eastAsia="zh-TW"/>
        </w:rPr>
        <w:t xml:space="preserve">The first step is to </w:t>
      </w:r>
      <w:r>
        <w:t>conduct the coexistence analysis based on TR 38.863</w:t>
      </w:r>
      <w:r w:rsidR="00673475">
        <w:t xml:space="preserve"> [2]</w:t>
      </w:r>
      <w:r>
        <w:t xml:space="preserve"> and then </w:t>
      </w:r>
      <w:bookmarkStart w:id="12" w:name="OLE_LINK598"/>
      <w:r>
        <w:t>e</w:t>
      </w:r>
      <w:r w:rsidRPr="00570E29">
        <w:t xml:space="preserve">valuate the </w:t>
      </w:r>
      <w:r>
        <w:t xml:space="preserve">NTN HPUE </w:t>
      </w:r>
      <w:r w:rsidRPr="00570E29">
        <w:t>impact on the uplink performance of TN</w:t>
      </w:r>
      <w:bookmarkEnd w:id="12"/>
      <w:r w:rsidR="00720954">
        <w:t xml:space="preserve">. </w:t>
      </w:r>
      <w:r w:rsidR="00720954" w:rsidRPr="00720954">
        <w:t>PC2, PC1.5 (for NR-NTN only) and PC1 will be evaluated for ACLR and ACS</w:t>
      </w:r>
      <w:r w:rsidR="00720954">
        <w:t>.</w:t>
      </w:r>
    </w:p>
    <w:p w14:paraId="3A413AA6" w14:textId="77777777" w:rsidR="000E7850" w:rsidRDefault="000E7850" w:rsidP="00AA6B3C"/>
    <w:p w14:paraId="7373D73B" w14:textId="77777777" w:rsidR="00673475" w:rsidRDefault="000E7850" w:rsidP="00673475">
      <w:pPr>
        <w:rPr>
          <w:rFonts w:eastAsia="新細明體"/>
          <w:lang w:eastAsia="zh-TW"/>
        </w:rPr>
      </w:pPr>
      <w:bookmarkStart w:id="13" w:name="OLE_LINK593"/>
      <w:r>
        <w:rPr>
          <w:rFonts w:eastAsia="新細明體"/>
          <w:lang w:eastAsia="zh-TW"/>
        </w:rPr>
        <w:t>In</w:t>
      </w:r>
      <w:r w:rsidR="00570E29">
        <w:rPr>
          <w:rFonts w:eastAsia="新細明體"/>
          <w:lang w:eastAsia="zh-TW"/>
        </w:rPr>
        <w:t xml:space="preserve"> TR 38.863</w:t>
      </w:r>
      <w:r w:rsidR="00673475">
        <w:rPr>
          <w:rFonts w:eastAsia="新細明體"/>
          <w:lang w:eastAsia="zh-TW"/>
        </w:rPr>
        <w:t xml:space="preserve"> [2]</w:t>
      </w:r>
      <w:r>
        <w:rPr>
          <w:rFonts w:eastAsia="新細明體"/>
          <w:lang w:eastAsia="zh-TW"/>
        </w:rPr>
        <w:t>, t</w:t>
      </w:r>
      <w:r w:rsidRPr="000E7850">
        <w:rPr>
          <w:rFonts w:eastAsia="新細明體"/>
          <w:lang w:eastAsia="zh-TW"/>
        </w:rPr>
        <w:t>he aggressor and victim combinations are listed in Table 6.1-2.</w:t>
      </w:r>
      <w:bookmarkEnd w:id="13"/>
      <w:r w:rsidR="00673475">
        <w:rPr>
          <w:rFonts w:eastAsia="新細明體"/>
          <w:lang w:eastAsia="zh-TW"/>
        </w:rPr>
        <w:t xml:space="preserve"> </w:t>
      </w:r>
      <w:r w:rsidR="00673475" w:rsidRPr="00673475">
        <w:rPr>
          <w:rFonts w:eastAsia="新細明體"/>
          <w:lang w:eastAsia="zh-TW"/>
        </w:rPr>
        <w:t xml:space="preserve">In TR 38.863, </w:t>
      </w:r>
      <w:r w:rsidR="00673475">
        <w:rPr>
          <w:rFonts w:eastAsia="新細明體"/>
          <w:lang w:eastAsia="zh-TW"/>
        </w:rPr>
        <w:t>the c</w:t>
      </w:r>
      <w:r w:rsidR="00673475" w:rsidRPr="00673475">
        <w:rPr>
          <w:rFonts w:eastAsia="新細明體"/>
          <w:lang w:eastAsia="zh-TW"/>
        </w:rPr>
        <w:t>o-existence results suggest ACLR and ACS of NR-NTN</w:t>
      </w:r>
      <w:r w:rsidR="00673475">
        <w:rPr>
          <w:rFonts w:eastAsia="新細明體"/>
          <w:lang w:eastAsia="zh-TW"/>
        </w:rPr>
        <w:t xml:space="preserve"> as listed in Table 6.1-2.</w:t>
      </w:r>
    </w:p>
    <w:p w14:paraId="3E14E5F9" w14:textId="77777777" w:rsidR="000E7850" w:rsidRPr="00720954" w:rsidRDefault="00720954" w:rsidP="000E7850">
      <w:pPr>
        <w:pStyle w:val="TH"/>
        <w:rPr>
          <w:lang w:val="en-US" w:eastAsia="zh-CN"/>
        </w:rPr>
      </w:pPr>
      <w:bookmarkStart w:id="14" w:name="OLE_LINK433"/>
      <w:r w:rsidRPr="00720954">
        <w:rPr>
          <w:lang w:val="en-US" w:eastAsia="zh-CN"/>
        </w:rPr>
        <w:lastRenderedPageBreak/>
        <w:t xml:space="preserve">TR 38.863 </w:t>
      </w:r>
      <w:r w:rsidR="000E7850" w:rsidRPr="00720954">
        <w:rPr>
          <w:rFonts w:hint="eastAsia"/>
          <w:lang w:val="en-US" w:eastAsia="zh-CN"/>
        </w:rPr>
        <w:t>Table 6.1-2</w:t>
      </w:r>
      <w:r w:rsidR="000E7850">
        <w:rPr>
          <w:noProof/>
        </w:rPr>
        <w:t>:</w:t>
      </w:r>
      <w:r w:rsidR="000E7850" w:rsidRPr="00720954">
        <w:rPr>
          <w:rFonts w:hint="eastAsia"/>
          <w:lang w:val="en-US" w:eastAsia="zh-CN"/>
        </w:rPr>
        <w:t xml:space="preserve"> Aggressor and victim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1316"/>
        <w:gridCol w:w="1336"/>
        <w:gridCol w:w="1362"/>
        <w:gridCol w:w="3590"/>
        <w:gridCol w:w="1745"/>
      </w:tblGrid>
      <w:tr w:rsidR="000E7850" w14:paraId="41250A49"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42C75EE5" w14:textId="77777777" w:rsidR="000E7850" w:rsidRDefault="000E7850">
            <w:pPr>
              <w:pStyle w:val="TAH"/>
              <w:overflowPunct w:val="0"/>
              <w:autoSpaceDE w:val="0"/>
              <w:autoSpaceDN w:val="0"/>
              <w:adjustRightInd w:val="0"/>
              <w:rPr>
                <w:rFonts w:eastAsia="Times New Roman"/>
                <w:lang w:eastAsia="en-GB"/>
              </w:rPr>
            </w:pPr>
            <w:r>
              <w:rPr>
                <w:rFonts w:eastAsia="Times New Roman"/>
              </w:rPr>
              <w:t>No.</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75903E12" w14:textId="77777777" w:rsidR="000E7850" w:rsidRDefault="000E7850">
            <w:pPr>
              <w:pStyle w:val="TAH"/>
              <w:overflowPunct w:val="0"/>
              <w:autoSpaceDE w:val="0"/>
              <w:autoSpaceDN w:val="0"/>
              <w:adjustRightInd w:val="0"/>
              <w:rPr>
                <w:rFonts w:eastAsia="Times New Roman"/>
              </w:rPr>
            </w:pPr>
            <w:r>
              <w:rPr>
                <w:rFonts w:eastAsia="Times New Roman"/>
              </w:rPr>
              <w:t>Combination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39AA324C" w14:textId="77777777" w:rsidR="000E7850" w:rsidRDefault="000E7850">
            <w:pPr>
              <w:pStyle w:val="TAH"/>
              <w:overflowPunct w:val="0"/>
              <w:autoSpaceDE w:val="0"/>
              <w:autoSpaceDN w:val="0"/>
              <w:adjustRightInd w:val="0"/>
              <w:rPr>
                <w:rFonts w:eastAsia="Times New Roman"/>
              </w:rPr>
            </w:pPr>
            <w:r>
              <w:rPr>
                <w:rFonts w:eastAsia="Times New Roman"/>
              </w:rPr>
              <w:t>Aggressor</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51586DE4" w14:textId="77777777" w:rsidR="000E7850" w:rsidRDefault="000E7850">
            <w:pPr>
              <w:pStyle w:val="TAH"/>
              <w:overflowPunct w:val="0"/>
              <w:autoSpaceDE w:val="0"/>
              <w:autoSpaceDN w:val="0"/>
              <w:adjustRightInd w:val="0"/>
              <w:rPr>
                <w:rFonts w:eastAsia="Times New Roman"/>
              </w:rPr>
            </w:pPr>
            <w:r>
              <w:rPr>
                <w:rFonts w:eastAsia="Times New Roman"/>
              </w:rPr>
              <w:t>Victim</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487CAD54" w14:textId="77777777" w:rsidR="000E7850" w:rsidRDefault="000E7850">
            <w:pPr>
              <w:pStyle w:val="TAH"/>
              <w:overflowPunct w:val="0"/>
              <w:autoSpaceDE w:val="0"/>
              <w:autoSpaceDN w:val="0"/>
              <w:adjustRightInd w:val="0"/>
              <w:rPr>
                <w:rFonts w:eastAsia="Times New Roman"/>
              </w:rPr>
            </w:pPr>
            <w:r>
              <w:rPr>
                <w:rFonts w:eastAsia="Times New Roman"/>
              </w:rPr>
              <w:t>Notes</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72123FC3" w14:textId="77777777" w:rsidR="000E7850" w:rsidRDefault="000E7850">
            <w:pPr>
              <w:pStyle w:val="TAH"/>
              <w:overflowPunct w:val="0"/>
              <w:autoSpaceDE w:val="0"/>
              <w:autoSpaceDN w:val="0"/>
              <w:adjustRightInd w:val="0"/>
              <w:rPr>
                <w:rFonts w:eastAsia="Times New Roman"/>
              </w:rPr>
            </w:pPr>
            <w:r>
              <w:rPr>
                <w:rFonts w:eastAsia="Times New Roman"/>
              </w:rPr>
              <w:t>Study Phase</w:t>
            </w:r>
          </w:p>
        </w:tc>
      </w:tr>
      <w:tr w:rsidR="000E7850" w14:paraId="6A15990B"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45086278" w14:textId="77777777" w:rsidR="000E7850" w:rsidRDefault="000E7850">
            <w:pPr>
              <w:pStyle w:val="TAC"/>
              <w:overflowPunct w:val="0"/>
              <w:autoSpaceDE w:val="0"/>
              <w:autoSpaceDN w:val="0"/>
              <w:adjustRightInd w:val="0"/>
              <w:rPr>
                <w:rFonts w:eastAsia="Times New Roman"/>
              </w:rPr>
            </w:pPr>
            <w:r>
              <w:rPr>
                <w:rFonts w:eastAsia="Times New Roman"/>
              </w:rPr>
              <w:t>1</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6DB6682A"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09C6F38B" w14:textId="77777777" w:rsidR="000E7850" w:rsidRDefault="000E7850">
            <w:pPr>
              <w:pStyle w:val="TAC"/>
              <w:overflowPunct w:val="0"/>
              <w:autoSpaceDE w:val="0"/>
              <w:autoSpaceDN w:val="0"/>
              <w:adjustRightInd w:val="0"/>
              <w:rPr>
                <w:rFonts w:eastAsia="Times New Roman"/>
              </w:rPr>
            </w:pPr>
            <w:r>
              <w:rPr>
                <w:rFonts w:eastAsia="Times New Roman"/>
              </w:rPr>
              <w:t>TN DL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3079DEB5" w14:textId="77777777" w:rsidR="000E7850" w:rsidRDefault="000E7850">
            <w:pPr>
              <w:pStyle w:val="TAC"/>
              <w:overflowPunct w:val="0"/>
              <w:autoSpaceDE w:val="0"/>
              <w:autoSpaceDN w:val="0"/>
              <w:adjustRightInd w:val="0"/>
              <w:rPr>
                <w:rFonts w:eastAsia="Times New Roman"/>
              </w:rPr>
            </w:pPr>
            <w:r>
              <w:rPr>
                <w:rFonts w:eastAsia="Times New Roman"/>
              </w:rPr>
              <w:t>NTN DL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4E619CF8" w14:textId="77777777" w:rsidR="000E7850" w:rsidRDefault="000E7850">
            <w:pPr>
              <w:pStyle w:val="TAL"/>
              <w:overflowPunct w:val="0"/>
              <w:autoSpaceDE w:val="0"/>
              <w:autoSpaceDN w:val="0"/>
              <w:adjustRightInd w:val="0"/>
              <w:rPr>
                <w:rFonts w:eastAsia="Times New Roman"/>
              </w:rPr>
            </w:pPr>
            <w:r>
              <w:rPr>
                <w:rFonts w:eastAsia="Times New Roman"/>
              </w:rPr>
              <w:t>Applicable for satellite operating in e.g. S-band, for e.g. coexistence with n1 FDD.</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11CFC06C" w14:textId="77777777" w:rsidR="000E7850" w:rsidRDefault="000E7850">
            <w:pPr>
              <w:pStyle w:val="TAC"/>
              <w:overflowPunct w:val="0"/>
              <w:autoSpaceDE w:val="0"/>
              <w:autoSpaceDN w:val="0"/>
              <w:adjustRightInd w:val="0"/>
              <w:rPr>
                <w:rFonts w:eastAsia="Times New Roman"/>
              </w:rPr>
            </w:pPr>
            <w:r>
              <w:rPr>
                <w:rFonts w:eastAsia="Times New Roman"/>
              </w:rPr>
              <w:t>Phase 1</w:t>
            </w:r>
          </w:p>
        </w:tc>
      </w:tr>
      <w:tr w:rsidR="000E7850" w14:paraId="6C52DD75"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599D2279" w14:textId="77777777" w:rsidR="000E7850" w:rsidRDefault="000E7850">
            <w:pPr>
              <w:pStyle w:val="TAC"/>
              <w:overflowPunct w:val="0"/>
              <w:autoSpaceDE w:val="0"/>
              <w:autoSpaceDN w:val="0"/>
              <w:adjustRightInd w:val="0"/>
              <w:rPr>
                <w:rFonts w:eastAsia="Times New Roman"/>
              </w:rPr>
            </w:pPr>
            <w:r>
              <w:rPr>
                <w:rFonts w:eastAsia="Times New Roman"/>
              </w:rPr>
              <w:t>2</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7C404FE0"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4A452EFF" w14:textId="77777777" w:rsidR="000E7850" w:rsidRDefault="000E7850">
            <w:pPr>
              <w:pStyle w:val="TAC"/>
              <w:overflowPunct w:val="0"/>
              <w:autoSpaceDE w:val="0"/>
              <w:autoSpaceDN w:val="0"/>
              <w:adjustRightInd w:val="0"/>
              <w:rPr>
                <w:rFonts w:eastAsia="Times New Roman"/>
              </w:rPr>
            </w:pPr>
            <w:r>
              <w:rPr>
                <w:rFonts w:eastAsia="Times New Roman"/>
              </w:rPr>
              <w:t>TN UL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5B28D8C2" w14:textId="77777777" w:rsidR="000E7850" w:rsidRDefault="000E7850">
            <w:pPr>
              <w:pStyle w:val="TAC"/>
              <w:overflowPunct w:val="0"/>
              <w:autoSpaceDE w:val="0"/>
              <w:autoSpaceDN w:val="0"/>
              <w:adjustRightInd w:val="0"/>
              <w:rPr>
                <w:rFonts w:eastAsia="Times New Roman"/>
              </w:rPr>
            </w:pPr>
            <w:r>
              <w:rPr>
                <w:rFonts w:eastAsia="Times New Roman"/>
              </w:rPr>
              <w:t>NTN UL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49106870" w14:textId="77777777" w:rsidR="000E7850" w:rsidRDefault="000E7850">
            <w:pPr>
              <w:pStyle w:val="TAL"/>
              <w:overflowPunct w:val="0"/>
              <w:autoSpaceDE w:val="0"/>
              <w:autoSpaceDN w:val="0"/>
              <w:adjustRightInd w:val="0"/>
              <w:rPr>
                <w:rFonts w:eastAsia="Times New Roman"/>
              </w:rPr>
            </w:pPr>
            <w:r>
              <w:rPr>
                <w:rFonts w:eastAsia="Times New Roman"/>
              </w:rPr>
              <w:t>Applicable for satellite operating in e.g. S-band, for e.g. coexistence with n1 FDD.</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158361FD" w14:textId="77777777" w:rsidR="000E7850" w:rsidRDefault="000E7850">
            <w:pPr>
              <w:pStyle w:val="TAC"/>
              <w:overflowPunct w:val="0"/>
              <w:autoSpaceDE w:val="0"/>
              <w:autoSpaceDN w:val="0"/>
              <w:adjustRightInd w:val="0"/>
              <w:rPr>
                <w:rFonts w:eastAsia="Times New Roman"/>
              </w:rPr>
            </w:pPr>
            <w:r>
              <w:rPr>
                <w:rFonts w:eastAsia="Times New Roman"/>
              </w:rPr>
              <w:t>Phase 1</w:t>
            </w:r>
          </w:p>
        </w:tc>
      </w:tr>
      <w:tr w:rsidR="000E7850" w14:paraId="28899948"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4206B456" w14:textId="77777777" w:rsidR="000E7850" w:rsidRDefault="000E7850">
            <w:pPr>
              <w:pStyle w:val="TAC"/>
              <w:overflowPunct w:val="0"/>
              <w:autoSpaceDE w:val="0"/>
              <w:autoSpaceDN w:val="0"/>
              <w:adjustRightInd w:val="0"/>
              <w:rPr>
                <w:rFonts w:eastAsia="Times New Roman"/>
              </w:rPr>
            </w:pPr>
            <w:r>
              <w:rPr>
                <w:rFonts w:eastAsia="Times New Roman"/>
              </w:rPr>
              <w:t>3</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16411133"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593D8FB7" w14:textId="77777777" w:rsidR="000E7850" w:rsidRDefault="000E7850">
            <w:pPr>
              <w:pStyle w:val="TAC"/>
              <w:overflowPunct w:val="0"/>
              <w:autoSpaceDE w:val="0"/>
              <w:autoSpaceDN w:val="0"/>
              <w:adjustRightInd w:val="0"/>
              <w:rPr>
                <w:rFonts w:eastAsia="Times New Roman"/>
              </w:rPr>
            </w:pPr>
            <w:r>
              <w:rPr>
                <w:rFonts w:eastAsia="Times New Roman"/>
              </w:rPr>
              <w:t>NTN DL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29BF568B" w14:textId="77777777" w:rsidR="000E7850" w:rsidRDefault="000E7850">
            <w:pPr>
              <w:pStyle w:val="TAC"/>
              <w:overflowPunct w:val="0"/>
              <w:autoSpaceDE w:val="0"/>
              <w:autoSpaceDN w:val="0"/>
              <w:adjustRightInd w:val="0"/>
              <w:rPr>
                <w:rFonts w:eastAsia="Times New Roman"/>
              </w:rPr>
            </w:pPr>
            <w:r>
              <w:rPr>
                <w:rFonts w:eastAsia="Times New Roman"/>
              </w:rPr>
              <w:t>TN DL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2C67DE06" w14:textId="77777777" w:rsidR="000E7850" w:rsidRDefault="000E7850">
            <w:pPr>
              <w:pStyle w:val="TAL"/>
              <w:overflowPunct w:val="0"/>
              <w:autoSpaceDE w:val="0"/>
              <w:autoSpaceDN w:val="0"/>
              <w:adjustRightInd w:val="0"/>
              <w:rPr>
                <w:rFonts w:eastAsia="Times New Roman"/>
              </w:rPr>
            </w:pPr>
            <w:r>
              <w:rPr>
                <w:rFonts w:eastAsia="Times New Roman"/>
              </w:rPr>
              <w:t>Applicable for satellite operating in e.g. S-band, for e.g. coexistence with n1 FDD.</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27BD699E" w14:textId="77777777" w:rsidR="000E7850" w:rsidRDefault="000E7850">
            <w:pPr>
              <w:pStyle w:val="TAC"/>
              <w:overflowPunct w:val="0"/>
              <w:autoSpaceDE w:val="0"/>
              <w:autoSpaceDN w:val="0"/>
              <w:adjustRightInd w:val="0"/>
              <w:rPr>
                <w:rFonts w:eastAsia="Times New Roman"/>
              </w:rPr>
            </w:pPr>
            <w:r>
              <w:rPr>
                <w:rFonts w:eastAsia="Times New Roman"/>
              </w:rPr>
              <w:t>Phase 1</w:t>
            </w:r>
          </w:p>
        </w:tc>
      </w:tr>
      <w:tr w:rsidR="000E7850" w14:paraId="5E671BBC"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41CA328D" w14:textId="77777777" w:rsidR="000E7850" w:rsidRDefault="000E7850">
            <w:pPr>
              <w:pStyle w:val="TAC"/>
              <w:overflowPunct w:val="0"/>
              <w:autoSpaceDE w:val="0"/>
              <w:autoSpaceDN w:val="0"/>
              <w:adjustRightInd w:val="0"/>
              <w:rPr>
                <w:rFonts w:eastAsia="Times New Roman"/>
              </w:rPr>
            </w:pPr>
            <w:r>
              <w:rPr>
                <w:rFonts w:eastAsia="Times New Roman"/>
                <w:highlight w:val="cyan"/>
              </w:rPr>
              <w:t>4</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05022B6F"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3F48FD7E" w14:textId="77777777" w:rsidR="000E7850" w:rsidRDefault="000E7850">
            <w:pPr>
              <w:pStyle w:val="TAC"/>
              <w:overflowPunct w:val="0"/>
              <w:autoSpaceDE w:val="0"/>
              <w:autoSpaceDN w:val="0"/>
              <w:adjustRightInd w:val="0"/>
              <w:rPr>
                <w:rFonts w:eastAsia="Times New Roman"/>
                <w:highlight w:val="cyan"/>
              </w:rPr>
            </w:pPr>
            <w:r>
              <w:rPr>
                <w:rFonts w:eastAsia="Times New Roman"/>
                <w:highlight w:val="cyan"/>
              </w:rPr>
              <w:t>NTN UL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6E319F24" w14:textId="77777777" w:rsidR="000E7850" w:rsidRDefault="000E7850">
            <w:pPr>
              <w:pStyle w:val="TAC"/>
              <w:overflowPunct w:val="0"/>
              <w:autoSpaceDE w:val="0"/>
              <w:autoSpaceDN w:val="0"/>
              <w:adjustRightInd w:val="0"/>
              <w:rPr>
                <w:rFonts w:eastAsia="Times New Roman"/>
              </w:rPr>
            </w:pPr>
            <w:r>
              <w:rPr>
                <w:rFonts w:eastAsia="Times New Roman"/>
                <w:highlight w:val="cyan"/>
              </w:rPr>
              <w:t>TN UL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00B31627" w14:textId="77777777" w:rsidR="000E7850" w:rsidRDefault="000E7850">
            <w:pPr>
              <w:pStyle w:val="TAL"/>
              <w:overflowPunct w:val="0"/>
              <w:autoSpaceDE w:val="0"/>
              <w:autoSpaceDN w:val="0"/>
              <w:adjustRightInd w:val="0"/>
              <w:rPr>
                <w:rFonts w:eastAsia="Times New Roman"/>
              </w:rPr>
            </w:pPr>
            <w:r>
              <w:rPr>
                <w:rFonts w:eastAsia="Times New Roman"/>
              </w:rPr>
              <w:t xml:space="preserve">Applicable for satellite operating in e.g. S-band, for e.g. coexistence with </w:t>
            </w:r>
            <w:r>
              <w:rPr>
                <w:rFonts w:eastAsia="Times New Roman"/>
                <w:highlight w:val="cyan"/>
              </w:rPr>
              <w:t>n1 FDD</w:t>
            </w:r>
            <w:r>
              <w:rPr>
                <w:rFonts w:eastAsia="Times New Roman"/>
              </w:rPr>
              <w:t>.</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71658332" w14:textId="77777777" w:rsidR="000E7850" w:rsidRDefault="000E7850">
            <w:pPr>
              <w:pStyle w:val="TAC"/>
              <w:overflowPunct w:val="0"/>
              <w:autoSpaceDE w:val="0"/>
              <w:autoSpaceDN w:val="0"/>
              <w:adjustRightInd w:val="0"/>
              <w:rPr>
                <w:rFonts w:eastAsia="Times New Roman"/>
              </w:rPr>
            </w:pPr>
            <w:r>
              <w:rPr>
                <w:rFonts w:eastAsia="Times New Roman"/>
              </w:rPr>
              <w:t>Phase 1</w:t>
            </w:r>
          </w:p>
        </w:tc>
      </w:tr>
      <w:tr w:rsidR="000E7850" w14:paraId="1EF94292"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349FE95E" w14:textId="77777777" w:rsidR="000E7850" w:rsidRDefault="000E7850">
            <w:pPr>
              <w:pStyle w:val="TAC"/>
              <w:overflowPunct w:val="0"/>
              <w:autoSpaceDE w:val="0"/>
              <w:autoSpaceDN w:val="0"/>
              <w:adjustRightInd w:val="0"/>
              <w:rPr>
                <w:rFonts w:eastAsia="Times New Roman"/>
              </w:rPr>
            </w:pPr>
            <w:r>
              <w:rPr>
                <w:rFonts w:eastAsia="Times New Roman"/>
                <w:highlight w:val="yellow"/>
              </w:rPr>
              <w:t>5</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75C88E77"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2A0E6AD6" w14:textId="77777777" w:rsidR="000E7850" w:rsidRDefault="000E7850">
            <w:pPr>
              <w:pStyle w:val="TAC"/>
              <w:overflowPunct w:val="0"/>
              <w:autoSpaceDE w:val="0"/>
              <w:autoSpaceDN w:val="0"/>
              <w:adjustRightInd w:val="0"/>
              <w:rPr>
                <w:rFonts w:eastAsia="Times New Roman"/>
                <w:highlight w:val="cyan"/>
              </w:rPr>
            </w:pPr>
            <w:r>
              <w:rPr>
                <w:rFonts w:eastAsia="Times New Roman"/>
                <w:highlight w:val="cyan"/>
              </w:rPr>
              <w:t>NTN UL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0625541C" w14:textId="77777777" w:rsidR="000E7850" w:rsidRDefault="000E7850">
            <w:pPr>
              <w:pStyle w:val="TAC"/>
              <w:overflowPunct w:val="0"/>
              <w:autoSpaceDE w:val="0"/>
              <w:autoSpaceDN w:val="0"/>
              <w:adjustRightInd w:val="0"/>
              <w:rPr>
                <w:rFonts w:eastAsia="Times New Roman"/>
              </w:rPr>
            </w:pPr>
            <w:r>
              <w:rPr>
                <w:rFonts w:eastAsia="Times New Roman"/>
                <w:highlight w:val="yellow"/>
              </w:rPr>
              <w:t>TN DL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61186AC5" w14:textId="77777777" w:rsidR="000E7850" w:rsidRDefault="000E7850">
            <w:pPr>
              <w:pStyle w:val="TAL"/>
              <w:overflowPunct w:val="0"/>
              <w:autoSpaceDE w:val="0"/>
              <w:autoSpaceDN w:val="0"/>
              <w:adjustRightInd w:val="0"/>
              <w:rPr>
                <w:rFonts w:eastAsia="Times New Roman"/>
                <w:b/>
                <w:lang w:eastAsia="ja-JP"/>
              </w:rPr>
            </w:pPr>
            <w:r>
              <w:rPr>
                <w:rFonts w:eastAsia="Times New Roman"/>
              </w:rPr>
              <w:t xml:space="preserve">Applicable for satellite operating in S-band, for e.g. coexistence with </w:t>
            </w:r>
            <w:r>
              <w:rPr>
                <w:rFonts w:eastAsia="Times New Roman"/>
                <w:highlight w:val="yellow"/>
              </w:rPr>
              <w:t>n34 TDD</w:t>
            </w:r>
            <w:r>
              <w:rPr>
                <w:rFonts w:eastAsia="Times New Roman"/>
              </w:rPr>
              <w:t xml:space="preserve">. </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00C4F50A" w14:textId="77777777" w:rsidR="000E7850" w:rsidRDefault="000E7850">
            <w:pPr>
              <w:pStyle w:val="TAC"/>
              <w:overflowPunct w:val="0"/>
              <w:autoSpaceDE w:val="0"/>
              <w:autoSpaceDN w:val="0"/>
              <w:adjustRightInd w:val="0"/>
              <w:rPr>
                <w:rFonts w:eastAsia="Times New Roman"/>
                <w:lang w:eastAsia="en-GB"/>
              </w:rPr>
            </w:pPr>
            <w:r>
              <w:rPr>
                <w:rFonts w:eastAsia="Times New Roman"/>
              </w:rPr>
              <w:t>Phase 1</w:t>
            </w:r>
          </w:p>
        </w:tc>
      </w:tr>
      <w:tr w:rsidR="000E7850" w14:paraId="524DE80E" w14:textId="77777777">
        <w:tc>
          <w:tcPr>
            <w:tcW w:w="229" w:type="pct"/>
            <w:tcBorders>
              <w:top w:val="single" w:sz="4" w:space="0" w:color="auto"/>
              <w:left w:val="single" w:sz="4" w:space="0" w:color="auto"/>
              <w:bottom w:val="single" w:sz="4" w:space="0" w:color="auto"/>
              <w:right w:val="single" w:sz="4" w:space="0" w:color="auto"/>
            </w:tcBorders>
            <w:shd w:val="clear" w:color="auto" w:fill="auto"/>
            <w:hideMark/>
          </w:tcPr>
          <w:p w14:paraId="5B7BAEE2" w14:textId="77777777" w:rsidR="000E7850" w:rsidRDefault="000E7850">
            <w:pPr>
              <w:pStyle w:val="TAC"/>
              <w:overflowPunct w:val="0"/>
              <w:autoSpaceDE w:val="0"/>
              <w:autoSpaceDN w:val="0"/>
              <w:adjustRightInd w:val="0"/>
              <w:rPr>
                <w:rFonts w:eastAsia="Times New Roman"/>
              </w:rPr>
            </w:pPr>
            <w:r>
              <w:rPr>
                <w:rFonts w:eastAsia="Times New Roman"/>
              </w:rPr>
              <w:t>6</w:t>
            </w:r>
          </w:p>
        </w:tc>
        <w:tc>
          <w:tcPr>
            <w:tcW w:w="636" w:type="pct"/>
            <w:tcBorders>
              <w:top w:val="single" w:sz="4" w:space="0" w:color="auto"/>
              <w:left w:val="single" w:sz="4" w:space="0" w:color="auto"/>
              <w:bottom w:val="single" w:sz="4" w:space="0" w:color="auto"/>
              <w:right w:val="single" w:sz="4" w:space="0" w:color="auto"/>
            </w:tcBorders>
            <w:shd w:val="clear" w:color="auto" w:fill="auto"/>
            <w:hideMark/>
          </w:tcPr>
          <w:p w14:paraId="32F10342" w14:textId="77777777" w:rsidR="000E7850" w:rsidRDefault="000E7850">
            <w:pPr>
              <w:pStyle w:val="TAC"/>
              <w:overflowPunct w:val="0"/>
              <w:autoSpaceDE w:val="0"/>
              <w:autoSpaceDN w:val="0"/>
              <w:adjustRightInd w:val="0"/>
              <w:rPr>
                <w:rFonts w:eastAsia="Times New Roman"/>
              </w:rPr>
            </w:pPr>
            <w:r>
              <w:rPr>
                <w:rFonts w:eastAsia="Times New Roman"/>
              </w:rPr>
              <w:t>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6316D364" w14:textId="77777777" w:rsidR="000E7850" w:rsidRDefault="000E7850">
            <w:pPr>
              <w:pStyle w:val="TAC"/>
              <w:overflowPunct w:val="0"/>
              <w:autoSpaceDE w:val="0"/>
              <w:autoSpaceDN w:val="0"/>
              <w:adjustRightInd w:val="0"/>
              <w:rPr>
                <w:rFonts w:eastAsia="Times New Roman"/>
              </w:rPr>
            </w:pPr>
            <w:r>
              <w:rPr>
                <w:rFonts w:eastAsia="Times New Roman"/>
              </w:rPr>
              <w:t>TN DL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7DB88A0D" w14:textId="77777777" w:rsidR="000E7850" w:rsidRDefault="000E7850">
            <w:pPr>
              <w:pStyle w:val="TAC"/>
              <w:overflowPunct w:val="0"/>
              <w:autoSpaceDE w:val="0"/>
              <w:autoSpaceDN w:val="0"/>
              <w:adjustRightInd w:val="0"/>
              <w:rPr>
                <w:rFonts w:eastAsia="Times New Roman"/>
              </w:rPr>
            </w:pPr>
            <w:r>
              <w:rPr>
                <w:rFonts w:eastAsia="Times New Roman"/>
              </w:rPr>
              <w:t>NTN UL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2B95160D" w14:textId="77777777" w:rsidR="000E7850" w:rsidRDefault="000E7850">
            <w:pPr>
              <w:pStyle w:val="TAL"/>
              <w:overflowPunct w:val="0"/>
              <w:autoSpaceDE w:val="0"/>
              <w:autoSpaceDN w:val="0"/>
              <w:adjustRightInd w:val="0"/>
              <w:rPr>
                <w:rFonts w:eastAsia="Times New Roman"/>
                <w:b/>
                <w:lang w:eastAsia="ja-JP"/>
              </w:rPr>
            </w:pPr>
            <w:r>
              <w:rPr>
                <w:rFonts w:eastAsia="Times New Roman"/>
              </w:rPr>
              <w:t xml:space="preserve">Applicable for satellite operating in S-band, for e.g. coexistence with n34 TDD. </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117BB7FC" w14:textId="77777777" w:rsidR="000E7850" w:rsidRDefault="000E7850">
            <w:pPr>
              <w:pStyle w:val="TAC"/>
              <w:overflowPunct w:val="0"/>
              <w:autoSpaceDE w:val="0"/>
              <w:autoSpaceDN w:val="0"/>
              <w:adjustRightInd w:val="0"/>
              <w:rPr>
                <w:rFonts w:eastAsia="Times New Roman"/>
                <w:lang w:eastAsia="en-GB"/>
              </w:rPr>
            </w:pPr>
            <w:r>
              <w:rPr>
                <w:rFonts w:eastAsia="Times New Roman"/>
              </w:rPr>
              <w:t>Phase 1</w:t>
            </w:r>
          </w:p>
        </w:tc>
      </w:tr>
      <w:tr w:rsidR="000E7850" w14:paraId="21E00B21" w14:textId="77777777">
        <w:trPr>
          <w:trHeight w:val="20"/>
        </w:trPr>
        <w:tc>
          <w:tcPr>
            <w:tcW w:w="229"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11CC530E" w14:textId="77777777" w:rsidR="000E7850" w:rsidRDefault="000E7850">
            <w:pPr>
              <w:pStyle w:val="TAC"/>
              <w:overflowPunct w:val="0"/>
              <w:autoSpaceDE w:val="0"/>
              <w:autoSpaceDN w:val="0"/>
              <w:adjustRightInd w:val="0"/>
              <w:rPr>
                <w:rFonts w:eastAsia="Times New Roman"/>
                <w:b/>
                <w:lang w:eastAsia="ja-JP"/>
              </w:rPr>
            </w:pPr>
            <w:r>
              <w:rPr>
                <w:rFonts w:eastAsia="Times New Roman"/>
              </w:rPr>
              <w:t>7</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auto"/>
            <w:hideMark/>
          </w:tcPr>
          <w:p w14:paraId="669AFE20" w14:textId="77777777" w:rsidR="000E7850" w:rsidRDefault="000E7850">
            <w:pPr>
              <w:pStyle w:val="TAC"/>
              <w:overflowPunct w:val="0"/>
              <w:autoSpaceDE w:val="0"/>
              <w:autoSpaceDN w:val="0"/>
              <w:adjustRightInd w:val="0"/>
              <w:rPr>
                <w:rFonts w:eastAsia="Times New Roman"/>
                <w:lang w:eastAsia="en-GB"/>
              </w:rPr>
            </w:pPr>
            <w:r>
              <w:rPr>
                <w:rFonts w:eastAsia="Times New Roman"/>
              </w:rPr>
              <w:t>NTN with NTN</w:t>
            </w: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6313FABF" w14:textId="77777777" w:rsidR="000E7850" w:rsidRDefault="000E7850">
            <w:pPr>
              <w:pStyle w:val="TAC"/>
              <w:overflowPunct w:val="0"/>
              <w:autoSpaceDE w:val="0"/>
              <w:autoSpaceDN w:val="0"/>
              <w:adjustRightInd w:val="0"/>
              <w:rPr>
                <w:rFonts w:eastAsia="Times New Roman"/>
              </w:rPr>
            </w:pPr>
            <w:r>
              <w:rPr>
                <w:rFonts w:eastAsia="Times New Roman"/>
              </w:rPr>
              <w:t>NTN DL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10876B86" w14:textId="77777777" w:rsidR="000E7850" w:rsidRDefault="000E7850">
            <w:pPr>
              <w:pStyle w:val="TAC"/>
              <w:overflowPunct w:val="0"/>
              <w:autoSpaceDE w:val="0"/>
              <w:autoSpaceDN w:val="0"/>
              <w:adjustRightInd w:val="0"/>
              <w:rPr>
                <w:rFonts w:eastAsia="Times New Roman"/>
                <w:b/>
                <w:lang w:eastAsia="ja-JP"/>
              </w:rPr>
            </w:pPr>
            <w:r>
              <w:rPr>
                <w:rFonts w:eastAsia="Times New Roman"/>
              </w:rPr>
              <w:t>NTN DL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3634AA01" w14:textId="77777777" w:rsidR="000E7850" w:rsidRDefault="000E7850">
            <w:pPr>
              <w:pStyle w:val="TAL"/>
              <w:overflowPunct w:val="0"/>
              <w:autoSpaceDE w:val="0"/>
              <w:autoSpaceDN w:val="0"/>
              <w:adjustRightInd w:val="0"/>
              <w:rPr>
                <w:rFonts w:eastAsia="Times New Roman"/>
                <w:strike/>
                <w:lang w:eastAsia="en-GB"/>
              </w:rPr>
            </w:pPr>
            <w:r>
              <w:rPr>
                <w:rFonts w:eastAsia="Times New Roman"/>
              </w:rPr>
              <w:t>HAPS-HAPS</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1D6AB64B" w14:textId="77777777" w:rsidR="000E7850" w:rsidRDefault="000E7850">
            <w:pPr>
              <w:pStyle w:val="TAC"/>
              <w:overflowPunct w:val="0"/>
              <w:autoSpaceDE w:val="0"/>
              <w:autoSpaceDN w:val="0"/>
              <w:adjustRightInd w:val="0"/>
              <w:rPr>
                <w:rFonts w:eastAsia="Times New Roman"/>
                <w:strike/>
              </w:rPr>
            </w:pPr>
            <w:r>
              <w:rPr>
                <w:rFonts w:eastAsia="Times New Roman"/>
              </w:rPr>
              <w:t>Phase 2</w:t>
            </w:r>
          </w:p>
        </w:tc>
      </w:tr>
      <w:tr w:rsidR="000E7850" w14:paraId="306C0D46" w14:textId="77777777">
        <w:trPr>
          <w:trHeight w:val="2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17A717" w14:textId="77777777" w:rsidR="000E7850" w:rsidRDefault="000E7850">
            <w:pPr>
              <w:overflowPunct w:val="0"/>
              <w:autoSpaceDE w:val="0"/>
              <w:autoSpaceDN w:val="0"/>
              <w:adjustRightInd w:val="0"/>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71D660" w14:textId="77777777" w:rsidR="000E7850" w:rsidRDefault="000E7850">
            <w:pPr>
              <w:overflowPunct w:val="0"/>
              <w:autoSpaceDE w:val="0"/>
              <w:autoSpaceDN w:val="0"/>
              <w:adjustRightInd w:val="0"/>
              <w:spacing w:after="0"/>
              <w:rPr>
                <w:rFonts w:ascii="Arial" w:eastAsia="Times New Roman"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shd w:val="clear" w:color="auto" w:fill="auto"/>
            <w:hideMark/>
          </w:tcPr>
          <w:p w14:paraId="3B3A037B" w14:textId="77777777" w:rsidR="000E7850" w:rsidRDefault="000E7850">
            <w:pPr>
              <w:pStyle w:val="TAC"/>
              <w:overflowPunct w:val="0"/>
              <w:autoSpaceDE w:val="0"/>
              <w:autoSpaceDN w:val="0"/>
              <w:adjustRightInd w:val="0"/>
              <w:rPr>
                <w:rFonts w:eastAsia="Times New Roman"/>
              </w:rPr>
            </w:pPr>
            <w:r>
              <w:rPr>
                <w:rFonts w:eastAsia="Times New Roman"/>
              </w:rPr>
              <w:t>NTN UL</w:t>
            </w:r>
          </w:p>
        </w:tc>
        <w:tc>
          <w:tcPr>
            <w:tcW w:w="706" w:type="pct"/>
            <w:tcBorders>
              <w:top w:val="single" w:sz="4" w:space="0" w:color="auto"/>
              <w:left w:val="single" w:sz="4" w:space="0" w:color="auto"/>
              <w:bottom w:val="single" w:sz="4" w:space="0" w:color="auto"/>
              <w:right w:val="single" w:sz="4" w:space="0" w:color="auto"/>
            </w:tcBorders>
            <w:shd w:val="clear" w:color="auto" w:fill="auto"/>
            <w:hideMark/>
          </w:tcPr>
          <w:p w14:paraId="3BA46106" w14:textId="77777777" w:rsidR="000E7850" w:rsidRDefault="000E7850">
            <w:pPr>
              <w:pStyle w:val="TAC"/>
              <w:overflowPunct w:val="0"/>
              <w:autoSpaceDE w:val="0"/>
              <w:autoSpaceDN w:val="0"/>
              <w:adjustRightInd w:val="0"/>
              <w:rPr>
                <w:rFonts w:eastAsia="Times New Roman"/>
              </w:rPr>
            </w:pPr>
            <w:r>
              <w:rPr>
                <w:rFonts w:eastAsia="Times New Roman"/>
              </w:rPr>
              <w:t>NTN UL</w:t>
            </w:r>
          </w:p>
        </w:tc>
        <w:tc>
          <w:tcPr>
            <w:tcW w:w="1836" w:type="pct"/>
            <w:tcBorders>
              <w:top w:val="single" w:sz="4" w:space="0" w:color="auto"/>
              <w:left w:val="single" w:sz="4" w:space="0" w:color="auto"/>
              <w:bottom w:val="single" w:sz="4" w:space="0" w:color="auto"/>
              <w:right w:val="single" w:sz="4" w:space="0" w:color="auto"/>
            </w:tcBorders>
            <w:shd w:val="clear" w:color="auto" w:fill="auto"/>
            <w:hideMark/>
          </w:tcPr>
          <w:p w14:paraId="2C2AE6C4" w14:textId="77777777" w:rsidR="000E7850" w:rsidRDefault="000E7850">
            <w:pPr>
              <w:pStyle w:val="TAL"/>
              <w:overflowPunct w:val="0"/>
              <w:autoSpaceDE w:val="0"/>
              <w:autoSpaceDN w:val="0"/>
              <w:adjustRightInd w:val="0"/>
              <w:rPr>
                <w:rFonts w:eastAsia="Times New Roman"/>
                <w:strike/>
              </w:rPr>
            </w:pPr>
            <w:r>
              <w:rPr>
                <w:rFonts w:eastAsia="Times New Roman"/>
              </w:rPr>
              <w:t>HAPS-HAPS</w:t>
            </w:r>
          </w:p>
        </w:tc>
        <w:tc>
          <w:tcPr>
            <w:tcW w:w="900" w:type="pct"/>
            <w:tcBorders>
              <w:top w:val="single" w:sz="4" w:space="0" w:color="auto"/>
              <w:left w:val="single" w:sz="4" w:space="0" w:color="auto"/>
              <w:bottom w:val="single" w:sz="4" w:space="0" w:color="auto"/>
              <w:right w:val="single" w:sz="4" w:space="0" w:color="auto"/>
            </w:tcBorders>
            <w:shd w:val="clear" w:color="auto" w:fill="auto"/>
            <w:hideMark/>
          </w:tcPr>
          <w:p w14:paraId="04E3C0E7" w14:textId="77777777" w:rsidR="000E7850" w:rsidRDefault="000E7850">
            <w:pPr>
              <w:pStyle w:val="TAC"/>
              <w:overflowPunct w:val="0"/>
              <w:autoSpaceDE w:val="0"/>
              <w:autoSpaceDN w:val="0"/>
              <w:adjustRightInd w:val="0"/>
              <w:rPr>
                <w:rFonts w:eastAsia="Times New Roman"/>
                <w:strike/>
              </w:rPr>
            </w:pPr>
            <w:r>
              <w:rPr>
                <w:rFonts w:eastAsia="Times New Roman"/>
              </w:rPr>
              <w:t>Phase 2</w:t>
            </w:r>
          </w:p>
        </w:tc>
      </w:tr>
      <w:bookmarkEnd w:id="14"/>
    </w:tbl>
    <w:p w14:paraId="3C46087A" w14:textId="77777777" w:rsidR="000E7850" w:rsidRDefault="000E7850" w:rsidP="000E7850">
      <w:pPr>
        <w:rPr>
          <w:rFonts w:eastAsia="Times New Roman"/>
          <w:lang w:eastAsia="en-GB"/>
        </w:rPr>
      </w:pPr>
    </w:p>
    <w:p w14:paraId="65C00630" w14:textId="77777777" w:rsidR="00673475" w:rsidRDefault="00673475" w:rsidP="00673475">
      <w:pPr>
        <w:pStyle w:val="TH"/>
        <w:rPr>
          <w:rFonts w:eastAsia="DengXian"/>
          <w:lang w:val="en-US" w:eastAsia="zh-TW"/>
        </w:rPr>
      </w:pPr>
      <w:bookmarkStart w:id="15" w:name="OLE_LINK430"/>
      <w:r>
        <w:t>TR 38.863 Table 6.5.1-3</w:t>
      </w:r>
      <w:r>
        <w:rPr>
          <w:noProof/>
        </w:rPr>
        <w:t>:</w:t>
      </w:r>
      <w:r>
        <w:t xml:space="preserve"> </w:t>
      </w:r>
      <w:bookmarkStart w:id="16" w:name="OLE_LINK595"/>
      <w:r>
        <w:t>Co-existence results suggested ACLR and ACS of NR-NTN</w:t>
      </w:r>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1537"/>
        <w:gridCol w:w="1827"/>
      </w:tblGrid>
      <w:tr w:rsidR="00673475" w14:paraId="4886829D" w14:textId="77777777">
        <w:trPr>
          <w:trHeight w:val="54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2BA3F6C" w14:textId="77777777" w:rsidR="00673475" w:rsidRDefault="00673475">
            <w:pPr>
              <w:pStyle w:val="TAH"/>
              <w:rPr>
                <w:rFonts w:eastAsia="Times New Roman"/>
              </w:rPr>
            </w:pPr>
            <w:r>
              <w:t>Scenario</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FDFDD" w14:textId="77777777" w:rsidR="00673475" w:rsidRDefault="00673475">
            <w:pPr>
              <w:pStyle w:val="TAH"/>
            </w:pPr>
            <w:r>
              <w:t>Contributing</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7DBDBA7" w14:textId="77777777" w:rsidR="00673475" w:rsidRDefault="00673475">
            <w:pPr>
              <w:pStyle w:val="TAH"/>
            </w:pPr>
            <w:r>
              <w:t>ACLR ACS values</w:t>
            </w:r>
          </w:p>
        </w:tc>
      </w:tr>
      <w:tr w:rsidR="00673475" w14:paraId="6F078D12"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B4D9F11" w14:textId="77777777" w:rsidR="00673475" w:rsidRDefault="00673475">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DC4DCF" w14:textId="77777777" w:rsidR="00673475" w:rsidRDefault="00673475">
            <w:pPr>
              <w:pStyle w:val="TAC"/>
            </w:pPr>
            <w:r>
              <w:t>NTN UE ACS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DA1B0C6" w14:textId="77777777" w:rsidR="00673475" w:rsidRDefault="00673475">
            <w:pPr>
              <w:pStyle w:val="TAC"/>
            </w:pPr>
            <w:r>
              <w:t>27.91 dB (AAS)</w:t>
            </w:r>
          </w:p>
        </w:tc>
      </w:tr>
      <w:tr w:rsidR="00673475" w14:paraId="5B326595" w14:textId="77777777">
        <w:trPr>
          <w:trHeight w:val="3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FBBD02C" w14:textId="77777777" w:rsidR="00673475" w:rsidRDefault="00673475">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2DD95D" w14:textId="77777777" w:rsidR="00673475" w:rsidRDefault="00673475">
            <w:pPr>
              <w:pStyle w:val="TAC"/>
            </w:pPr>
            <w:r>
              <w:t>NTN SAN ACS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0F8932A" w14:textId="77777777" w:rsidR="00673475" w:rsidRDefault="00673475">
            <w:pPr>
              <w:pStyle w:val="TAC"/>
            </w:pPr>
            <w:r>
              <w:t>37.06 dB (non-AAS)</w:t>
            </w:r>
          </w:p>
        </w:tc>
      </w:tr>
      <w:tr w:rsidR="00673475" w14:paraId="17519D44"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76FEF3B" w14:textId="77777777" w:rsidR="00673475" w:rsidRDefault="00673475">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C39712A" w14:textId="77777777" w:rsidR="00673475" w:rsidRDefault="00673475">
            <w:pPr>
              <w:pStyle w:val="TAC"/>
            </w:pPr>
            <w:r>
              <w:t>NTN SAN ACLR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2B74415" w14:textId="77777777" w:rsidR="00673475" w:rsidRDefault="00673475">
            <w:pPr>
              <w:pStyle w:val="TAC"/>
            </w:pPr>
            <w:r>
              <w:t>LEO: 23.81 dB</w:t>
            </w:r>
          </w:p>
          <w:p w14:paraId="6BBB9BB7" w14:textId="77777777" w:rsidR="00673475" w:rsidRDefault="00673475">
            <w:pPr>
              <w:pStyle w:val="TAC"/>
              <w:rPr>
                <w:lang w:eastAsia="zh-CN"/>
              </w:rPr>
            </w:pPr>
            <w:r>
              <w:rPr>
                <w:lang w:eastAsia="zh-CN"/>
              </w:rPr>
              <w:t>GEO: 13.39 dB</w:t>
            </w:r>
          </w:p>
        </w:tc>
      </w:tr>
      <w:tr w:rsidR="00673475" w14:paraId="4228B1F6" w14:textId="77777777">
        <w:trPr>
          <w:trHeight w:val="3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10AEED4" w14:textId="77777777" w:rsidR="00673475" w:rsidRDefault="00673475">
            <w:pPr>
              <w:pStyle w:val="TAC"/>
              <w:rPr>
                <w:lang w:eastAsia="en-GB"/>
              </w:rPr>
            </w:pPr>
            <w:r>
              <w:rPr>
                <w:highlight w:val="cyan"/>
              </w:rP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790C8B" w14:textId="77777777" w:rsidR="00673475" w:rsidRDefault="00673475">
            <w:pPr>
              <w:pStyle w:val="TAC"/>
              <w:rPr>
                <w:highlight w:val="cyan"/>
                <w:lang w:eastAsia="zh-TW"/>
              </w:rPr>
            </w:pPr>
            <w:r>
              <w:rPr>
                <w:highlight w:val="cyan"/>
              </w:rPr>
              <w:t>NTN UE ACLR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E2D596" w14:textId="77777777" w:rsidR="00673475" w:rsidRPr="00673475" w:rsidRDefault="00673475">
            <w:pPr>
              <w:pStyle w:val="TAC"/>
            </w:pPr>
            <w:r w:rsidRPr="00673475">
              <w:t>28.18 dB (AAS)</w:t>
            </w:r>
          </w:p>
        </w:tc>
      </w:tr>
      <w:tr w:rsidR="00673475" w14:paraId="275FB07D" w14:textId="77777777">
        <w:trPr>
          <w:trHeight w:val="34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3FF55F" w14:textId="77777777" w:rsidR="00673475" w:rsidRDefault="00673475">
            <w:pPr>
              <w:pStyle w:val="TAC"/>
            </w:pPr>
            <w:r>
              <w:rPr>
                <w:highlight w:val="yellow"/>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6B51088" w14:textId="77777777" w:rsidR="00673475" w:rsidRDefault="00673475">
            <w:pPr>
              <w:pStyle w:val="TAC"/>
              <w:rPr>
                <w:highlight w:val="cyan"/>
              </w:rPr>
            </w:pPr>
            <w:r>
              <w:rPr>
                <w:highlight w:val="yellow"/>
              </w:rPr>
              <w:t>NTN UE ACLR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481523" w14:textId="77777777" w:rsidR="00673475" w:rsidRPr="00673475" w:rsidRDefault="00673475">
            <w:pPr>
              <w:pStyle w:val="TAC"/>
            </w:pPr>
            <w:r w:rsidRPr="00673475">
              <w:t>27.51 dB (AAS)</w:t>
            </w:r>
          </w:p>
        </w:tc>
      </w:tr>
      <w:tr w:rsidR="00673475" w14:paraId="6FDD21FA" w14:textId="77777777">
        <w:trPr>
          <w:trHeight w:val="3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027DE9" w14:textId="77777777" w:rsidR="00673475" w:rsidRDefault="00673475">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3A5069A" w14:textId="77777777" w:rsidR="00673475" w:rsidRDefault="00673475">
            <w:pPr>
              <w:pStyle w:val="TAC"/>
            </w:pPr>
            <w:r>
              <w:t>NTN SAN ACS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FAE2D6" w14:textId="77777777" w:rsidR="00673475" w:rsidRDefault="00673475">
            <w:pPr>
              <w:pStyle w:val="TAC"/>
            </w:pPr>
            <w:r>
              <w:t>37.4 dB</w:t>
            </w:r>
          </w:p>
        </w:tc>
      </w:tr>
      <w:tr w:rsidR="00673475" w14:paraId="1B22B37E" w14:textId="77777777">
        <w:trPr>
          <w:trHeight w:val="3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16D65F0" w14:textId="77777777" w:rsidR="00673475" w:rsidRDefault="00673475">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EC743E" w14:textId="77777777" w:rsidR="00673475" w:rsidRDefault="00673475">
            <w:pPr>
              <w:pStyle w:val="TAC"/>
            </w:pPr>
            <w:r>
              <w:t>HAPS ACLR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6343004" w14:textId="77777777" w:rsidR="00673475" w:rsidRDefault="00673475">
            <w:pPr>
              <w:pStyle w:val="TAC"/>
            </w:pPr>
            <w:r>
              <w:t>24.97 dB</w:t>
            </w:r>
          </w:p>
        </w:tc>
      </w:tr>
      <w:tr w:rsidR="00673475" w14:paraId="634A4E82" w14:textId="77777777">
        <w:trPr>
          <w:trHeight w:val="331"/>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D4C986E" w14:textId="77777777" w:rsidR="00673475" w:rsidRDefault="00673475">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807B85" w14:textId="77777777" w:rsidR="00673475" w:rsidRDefault="00673475">
            <w:pPr>
              <w:pStyle w:val="TAC"/>
            </w:pPr>
            <w:r>
              <w:t>HAPS ACS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20F62B3" w14:textId="77777777" w:rsidR="00673475" w:rsidRDefault="00673475">
            <w:pPr>
              <w:pStyle w:val="TAC"/>
            </w:pPr>
            <w:r>
              <w:rPr>
                <w:lang w:val="da-DK"/>
              </w:rPr>
              <w:t>30 dB</w:t>
            </w:r>
          </w:p>
        </w:tc>
        <w:bookmarkEnd w:id="15"/>
      </w:tr>
    </w:tbl>
    <w:p w14:paraId="34B2B721" w14:textId="77777777" w:rsidR="00673475" w:rsidRDefault="00673475" w:rsidP="000E7850">
      <w:pPr>
        <w:rPr>
          <w:rFonts w:eastAsia="Times New Roman"/>
          <w:lang w:eastAsia="en-GB"/>
        </w:rPr>
      </w:pPr>
    </w:p>
    <w:p w14:paraId="47284807" w14:textId="77777777" w:rsidR="00720954" w:rsidRPr="00F77D3E" w:rsidRDefault="00720954" w:rsidP="00720954">
      <w:pPr>
        <w:rPr>
          <w:b/>
          <w:bCs/>
          <w:i/>
          <w:iCs/>
        </w:rPr>
      </w:pPr>
      <w:bookmarkStart w:id="17" w:name="OLE_LINK601"/>
      <w:r w:rsidRPr="00F77D3E">
        <w:rPr>
          <w:b/>
          <w:bCs/>
          <w:i/>
          <w:iCs/>
        </w:rPr>
        <w:t xml:space="preserve">Observation </w:t>
      </w:r>
      <w:r w:rsidR="00673475" w:rsidRPr="00F77D3E">
        <w:rPr>
          <w:b/>
          <w:bCs/>
          <w:i/>
          <w:iCs/>
        </w:rPr>
        <w:t>1</w:t>
      </w:r>
      <w:r w:rsidRPr="00F77D3E">
        <w:rPr>
          <w:b/>
          <w:bCs/>
          <w:i/>
          <w:iCs/>
        </w:rPr>
        <w:t>: When the aggressor NTN UE UL increases the maximum TX power</w:t>
      </w:r>
      <w:r w:rsidR="00673475" w:rsidRPr="00F77D3E">
        <w:rPr>
          <w:b/>
          <w:bCs/>
          <w:i/>
          <w:iCs/>
        </w:rPr>
        <w:t xml:space="preserve"> (e.g., change TX power from PC3 to PC2)</w:t>
      </w:r>
      <w:r w:rsidRPr="00F77D3E">
        <w:rPr>
          <w:b/>
          <w:bCs/>
          <w:i/>
          <w:iCs/>
        </w:rPr>
        <w:t xml:space="preserve">, </w:t>
      </w:r>
      <w:r w:rsidR="00673475" w:rsidRPr="00F77D3E">
        <w:rPr>
          <w:b/>
          <w:bCs/>
          <w:i/>
          <w:iCs/>
        </w:rPr>
        <w:t>s</w:t>
      </w:r>
      <w:r w:rsidRPr="00F77D3E">
        <w:rPr>
          <w:b/>
          <w:bCs/>
          <w:i/>
          <w:iCs/>
        </w:rPr>
        <w:t xml:space="preserve">cenarios </w:t>
      </w:r>
      <w:r w:rsidR="00673475" w:rsidRPr="00F77D3E">
        <w:rPr>
          <w:b/>
          <w:bCs/>
          <w:i/>
          <w:iCs/>
        </w:rPr>
        <w:t>4</w:t>
      </w:r>
      <w:r w:rsidRPr="00F77D3E">
        <w:rPr>
          <w:b/>
          <w:bCs/>
          <w:i/>
          <w:iCs/>
        </w:rPr>
        <w:t xml:space="preserve"> and </w:t>
      </w:r>
      <w:r w:rsidR="00673475" w:rsidRPr="00F77D3E">
        <w:rPr>
          <w:b/>
          <w:bCs/>
          <w:i/>
          <w:iCs/>
        </w:rPr>
        <w:t>5</w:t>
      </w:r>
      <w:r w:rsidRPr="00F77D3E">
        <w:rPr>
          <w:b/>
          <w:bCs/>
          <w:i/>
          <w:iCs/>
        </w:rPr>
        <w:t xml:space="preserve"> are relevant to NTN UE ACLR requirement as indicated in TR 38.863 Table 6.5.1-3. Currently, in WI [</w:t>
      </w:r>
      <w:r w:rsidR="00F77D3E" w:rsidRPr="00F77D3E">
        <w:rPr>
          <w:b/>
          <w:bCs/>
          <w:i/>
          <w:iCs/>
        </w:rPr>
        <w:t>1</w:t>
      </w:r>
      <w:r w:rsidRPr="00F77D3E">
        <w:rPr>
          <w:b/>
          <w:bCs/>
          <w:i/>
          <w:iCs/>
        </w:rPr>
        <w:t xml:space="preserve">], it mentions that evaluation focuses on NTN UL aggressor to TN UL victim (i.e., scenario 4) and does not need evaluation about NTN UL aggressor to TN DL victim (i.e., scenario 5). </w:t>
      </w:r>
    </w:p>
    <w:p w14:paraId="6F60029E" w14:textId="77777777" w:rsidR="00720954" w:rsidRPr="00F77D3E" w:rsidRDefault="00720954" w:rsidP="00720954">
      <w:pPr>
        <w:rPr>
          <w:b/>
          <w:bCs/>
          <w:i/>
          <w:iCs/>
        </w:rPr>
      </w:pPr>
      <w:r w:rsidRPr="00F77D3E">
        <w:rPr>
          <w:b/>
          <w:bCs/>
          <w:i/>
          <w:iCs/>
        </w:rPr>
        <w:t xml:space="preserve">Observation </w:t>
      </w:r>
      <w:r w:rsidR="00F77D3E" w:rsidRPr="00F77D3E">
        <w:rPr>
          <w:b/>
          <w:bCs/>
          <w:i/>
          <w:iCs/>
        </w:rPr>
        <w:t>2</w:t>
      </w:r>
      <w:r w:rsidRPr="00F77D3E">
        <w:rPr>
          <w:b/>
          <w:bCs/>
          <w:i/>
          <w:iCs/>
        </w:rPr>
        <w:t>: ACLR requirement evaluation for scenario 5 is also important for TN</w:t>
      </w:r>
      <w:r w:rsidR="00F77D3E" w:rsidRPr="00F77D3E">
        <w:rPr>
          <w:b/>
          <w:bCs/>
          <w:i/>
          <w:iCs/>
        </w:rPr>
        <w:t>-</w:t>
      </w:r>
      <w:r w:rsidRPr="00F77D3E">
        <w:rPr>
          <w:b/>
          <w:bCs/>
          <w:i/>
          <w:iCs/>
        </w:rPr>
        <w:t>bands DL protection. Scenario-5 ACLR value also affect</w:t>
      </w:r>
      <w:r w:rsidR="00FD2E1B">
        <w:rPr>
          <w:b/>
          <w:bCs/>
          <w:i/>
          <w:iCs/>
        </w:rPr>
        <w:t>s</w:t>
      </w:r>
      <w:r w:rsidRPr="00F77D3E">
        <w:rPr>
          <w:b/>
          <w:bCs/>
          <w:i/>
          <w:iCs/>
        </w:rPr>
        <w:t xml:space="preserve"> UE-UE coexistence A-MPR results. </w:t>
      </w:r>
    </w:p>
    <w:p w14:paraId="51514B94" w14:textId="77777777" w:rsidR="000E7850" w:rsidRPr="00FD2E1B" w:rsidRDefault="00720954" w:rsidP="00720954">
      <w:pPr>
        <w:rPr>
          <w:b/>
          <w:bCs/>
          <w:i/>
          <w:iCs/>
        </w:rPr>
      </w:pPr>
      <w:r w:rsidRPr="00FD2E1B">
        <w:rPr>
          <w:b/>
          <w:bCs/>
          <w:i/>
          <w:iCs/>
        </w:rPr>
        <w:t xml:space="preserve">Proposal </w:t>
      </w:r>
      <w:r w:rsidR="00FD2E1B">
        <w:rPr>
          <w:b/>
          <w:bCs/>
          <w:i/>
          <w:iCs/>
        </w:rPr>
        <w:t>1</w:t>
      </w:r>
      <w:r w:rsidRPr="00FD2E1B">
        <w:rPr>
          <w:b/>
          <w:bCs/>
          <w:i/>
          <w:iCs/>
        </w:rPr>
        <w:t xml:space="preserve">: To clarify whether ACLR evaluation for scenario 5 would be needed </w:t>
      </w:r>
      <w:r w:rsidR="00FD2E1B">
        <w:rPr>
          <w:b/>
          <w:bCs/>
          <w:i/>
          <w:iCs/>
        </w:rPr>
        <w:t xml:space="preserve">as well. </w:t>
      </w:r>
      <w:r w:rsidRPr="00FD2E1B">
        <w:rPr>
          <w:b/>
          <w:bCs/>
          <w:i/>
          <w:iCs/>
        </w:rPr>
        <w:t xml:space="preserve"> </w:t>
      </w:r>
    </w:p>
    <w:p w14:paraId="36CD4110" w14:textId="77777777" w:rsidR="000E7850" w:rsidRDefault="000E7850" w:rsidP="00AA6B3C">
      <w:pPr>
        <w:rPr>
          <w:rFonts w:eastAsia="新細明體"/>
          <w:lang w:eastAsia="zh-TW"/>
        </w:rPr>
      </w:pPr>
    </w:p>
    <w:p w14:paraId="7B45C38C" w14:textId="77777777" w:rsidR="00673475" w:rsidRPr="008E2C27" w:rsidRDefault="00673475" w:rsidP="00673475">
      <w:pPr>
        <w:rPr>
          <w:b/>
          <w:bCs/>
          <w:i/>
          <w:iCs/>
        </w:rPr>
      </w:pPr>
      <w:r w:rsidRPr="008E2C27">
        <w:rPr>
          <w:b/>
          <w:bCs/>
          <w:i/>
          <w:iCs/>
        </w:rPr>
        <w:t xml:space="preserve">Observation </w:t>
      </w:r>
      <w:r w:rsidR="008E2C27" w:rsidRPr="008E2C27">
        <w:rPr>
          <w:b/>
          <w:bCs/>
          <w:i/>
          <w:iCs/>
        </w:rPr>
        <w:t>3</w:t>
      </w:r>
      <w:r w:rsidRPr="008E2C27">
        <w:rPr>
          <w:b/>
          <w:bCs/>
          <w:i/>
          <w:iCs/>
        </w:rPr>
        <w:t>: Scenario-1 evaluation is relevant to NTN UE ACS. Evaluation of scenarios 2 and 6 is relevant to NTN SAN ACS.</w:t>
      </w:r>
    </w:p>
    <w:p w14:paraId="3E6BCFAA" w14:textId="77777777" w:rsidR="00673475" w:rsidRDefault="00673475" w:rsidP="00673475">
      <w:pPr>
        <w:rPr>
          <w:b/>
          <w:bCs/>
          <w:i/>
          <w:iCs/>
        </w:rPr>
      </w:pPr>
      <w:bookmarkStart w:id="18" w:name="OLE_LINK597"/>
      <w:r w:rsidRPr="008E2C27">
        <w:rPr>
          <w:b/>
          <w:bCs/>
          <w:i/>
          <w:iCs/>
        </w:rPr>
        <w:t xml:space="preserve">Observation </w:t>
      </w:r>
      <w:r w:rsidR="008E2C27" w:rsidRPr="008E2C27">
        <w:rPr>
          <w:b/>
          <w:bCs/>
          <w:i/>
          <w:iCs/>
        </w:rPr>
        <w:t>4</w:t>
      </w:r>
      <w:r w:rsidRPr="008E2C27">
        <w:rPr>
          <w:b/>
          <w:bCs/>
          <w:i/>
          <w:iCs/>
        </w:rPr>
        <w:t>: In WI [</w:t>
      </w:r>
      <w:r w:rsidR="008E2C27" w:rsidRPr="008E2C27">
        <w:rPr>
          <w:b/>
          <w:bCs/>
          <w:i/>
          <w:iCs/>
        </w:rPr>
        <w:t>1</w:t>
      </w:r>
      <w:r w:rsidRPr="008E2C27">
        <w:rPr>
          <w:b/>
          <w:bCs/>
          <w:i/>
          <w:iCs/>
        </w:rPr>
        <w:t>], it mentions that ACS evaluation would be needed.</w:t>
      </w:r>
      <w:bookmarkStart w:id="19" w:name="OLE_LINK599"/>
      <w:r w:rsidRPr="008E2C27">
        <w:rPr>
          <w:b/>
          <w:bCs/>
          <w:i/>
          <w:iCs/>
        </w:rPr>
        <w:t xml:space="preserve"> </w:t>
      </w:r>
      <w:bookmarkStart w:id="20" w:name="OLE_LINK596"/>
      <w:r w:rsidRPr="008E2C27">
        <w:rPr>
          <w:b/>
          <w:bCs/>
          <w:i/>
          <w:iCs/>
        </w:rPr>
        <w:t xml:space="preserve">It is </w:t>
      </w:r>
      <w:r w:rsidR="008E2C27">
        <w:rPr>
          <w:b/>
          <w:bCs/>
          <w:i/>
          <w:iCs/>
        </w:rPr>
        <w:t>ambiguous</w:t>
      </w:r>
      <w:bookmarkEnd w:id="19"/>
      <w:r w:rsidRPr="008E2C27">
        <w:rPr>
          <w:b/>
          <w:bCs/>
          <w:i/>
          <w:iCs/>
        </w:rPr>
        <w:t xml:space="preserve"> whether the ACS evaluation </w:t>
      </w:r>
      <w:r w:rsidR="000E1A7A">
        <w:rPr>
          <w:b/>
          <w:bCs/>
          <w:i/>
          <w:iCs/>
        </w:rPr>
        <w:t>would be</w:t>
      </w:r>
      <w:r w:rsidRPr="008E2C27">
        <w:rPr>
          <w:b/>
          <w:bCs/>
          <w:i/>
          <w:iCs/>
        </w:rPr>
        <w:t xml:space="preserve"> for NTN UE ACS or NTN SAN ACS.</w:t>
      </w:r>
    </w:p>
    <w:bookmarkEnd w:id="18"/>
    <w:p w14:paraId="490A85B3" w14:textId="77777777" w:rsidR="008E2C27" w:rsidRDefault="008E2C27" w:rsidP="008E2C27">
      <w:pPr>
        <w:rPr>
          <w:b/>
          <w:bCs/>
          <w:i/>
          <w:iCs/>
        </w:rPr>
      </w:pPr>
      <w:r>
        <w:rPr>
          <w:b/>
          <w:bCs/>
          <w:i/>
          <w:iCs/>
        </w:rPr>
        <w:t xml:space="preserve">Observation 5: Additionally, regarding NTN HPUE, the purpose is to </w:t>
      </w:r>
      <w:r w:rsidRPr="008E2C27">
        <w:rPr>
          <w:b/>
          <w:bCs/>
          <w:i/>
          <w:iCs/>
        </w:rPr>
        <w:t>evaluate the NTN</w:t>
      </w:r>
      <w:r>
        <w:rPr>
          <w:b/>
          <w:bCs/>
          <w:i/>
          <w:iCs/>
        </w:rPr>
        <w:t>-</w:t>
      </w:r>
      <w:r w:rsidRPr="008E2C27">
        <w:rPr>
          <w:b/>
          <w:bCs/>
          <w:i/>
          <w:iCs/>
        </w:rPr>
        <w:t xml:space="preserve">HPUE </w:t>
      </w:r>
      <w:r>
        <w:rPr>
          <w:b/>
          <w:bCs/>
          <w:i/>
          <w:iCs/>
        </w:rPr>
        <w:t xml:space="preserve">aggressor </w:t>
      </w:r>
      <w:r w:rsidRPr="008E2C27">
        <w:rPr>
          <w:b/>
          <w:bCs/>
          <w:i/>
          <w:iCs/>
        </w:rPr>
        <w:t xml:space="preserve">impact on the </w:t>
      </w:r>
      <w:r>
        <w:rPr>
          <w:b/>
          <w:bCs/>
          <w:i/>
          <w:iCs/>
        </w:rPr>
        <w:t xml:space="preserve">victim </w:t>
      </w:r>
      <w:r w:rsidRPr="008E2C27">
        <w:rPr>
          <w:b/>
          <w:bCs/>
          <w:i/>
          <w:iCs/>
        </w:rPr>
        <w:t>uplink performance of TN</w:t>
      </w:r>
      <w:r>
        <w:rPr>
          <w:b/>
          <w:bCs/>
          <w:i/>
          <w:iCs/>
        </w:rPr>
        <w:t>. It is ambiguous whether ACS</w:t>
      </w:r>
      <w:r w:rsidR="000E1A7A">
        <w:rPr>
          <w:b/>
          <w:bCs/>
          <w:i/>
          <w:iCs/>
        </w:rPr>
        <w:t xml:space="preserve"> evaluation would be necessary. </w:t>
      </w:r>
    </w:p>
    <w:bookmarkEnd w:id="20"/>
    <w:p w14:paraId="33B7EECF" w14:textId="77777777" w:rsidR="00673475" w:rsidRPr="000E1A7A" w:rsidRDefault="00673475" w:rsidP="00673475">
      <w:pPr>
        <w:rPr>
          <w:b/>
          <w:bCs/>
          <w:i/>
          <w:iCs/>
        </w:rPr>
      </w:pPr>
      <w:r w:rsidRPr="000E1A7A">
        <w:rPr>
          <w:b/>
          <w:bCs/>
          <w:i/>
          <w:iCs/>
        </w:rPr>
        <w:t xml:space="preserve">Proposal </w:t>
      </w:r>
      <w:r w:rsidR="000E1A7A">
        <w:rPr>
          <w:b/>
          <w:bCs/>
          <w:i/>
          <w:iCs/>
        </w:rPr>
        <w:t>2</w:t>
      </w:r>
      <w:r w:rsidRPr="000E1A7A">
        <w:rPr>
          <w:b/>
          <w:bCs/>
          <w:i/>
          <w:iCs/>
        </w:rPr>
        <w:t xml:space="preserve">: Clarify whether the ACS evaluation </w:t>
      </w:r>
      <w:r w:rsidR="000E1A7A">
        <w:rPr>
          <w:b/>
          <w:bCs/>
          <w:i/>
          <w:iCs/>
        </w:rPr>
        <w:t>would be</w:t>
      </w:r>
      <w:r w:rsidRPr="000E1A7A">
        <w:rPr>
          <w:b/>
          <w:bCs/>
          <w:i/>
          <w:iCs/>
        </w:rPr>
        <w:t xml:space="preserve"> for NTN</w:t>
      </w:r>
      <w:r w:rsidR="000E1A7A">
        <w:rPr>
          <w:b/>
          <w:bCs/>
          <w:i/>
          <w:iCs/>
        </w:rPr>
        <w:t>-</w:t>
      </w:r>
      <w:r w:rsidRPr="000E1A7A">
        <w:rPr>
          <w:b/>
          <w:bCs/>
          <w:i/>
          <w:iCs/>
        </w:rPr>
        <w:t>UE ACS or NTN</w:t>
      </w:r>
      <w:r w:rsidR="000E1A7A">
        <w:rPr>
          <w:b/>
          <w:bCs/>
          <w:i/>
          <w:iCs/>
        </w:rPr>
        <w:t>-</w:t>
      </w:r>
      <w:r w:rsidRPr="000E1A7A">
        <w:rPr>
          <w:b/>
          <w:bCs/>
          <w:i/>
          <w:iCs/>
        </w:rPr>
        <w:t xml:space="preserve">SAN ACS. Or clarify whether ACS evaluation would be </w:t>
      </w:r>
      <w:r w:rsidR="000E1A7A">
        <w:rPr>
          <w:b/>
          <w:bCs/>
          <w:i/>
          <w:iCs/>
        </w:rPr>
        <w:t>necessary</w:t>
      </w:r>
      <w:r w:rsidRPr="000E1A7A">
        <w:rPr>
          <w:b/>
          <w:bCs/>
          <w:i/>
          <w:iCs/>
        </w:rPr>
        <w:t xml:space="preserve">. </w:t>
      </w:r>
    </w:p>
    <w:bookmarkEnd w:id="17"/>
    <w:p w14:paraId="32513951" w14:textId="77777777" w:rsidR="00673475" w:rsidRDefault="00673475" w:rsidP="00AA6B3C">
      <w:pPr>
        <w:rPr>
          <w:rFonts w:eastAsia="新細明體"/>
          <w:lang w:eastAsia="zh-TW"/>
        </w:rPr>
      </w:pPr>
    </w:p>
    <w:p w14:paraId="7110A227" w14:textId="77777777" w:rsidR="00CC7A23" w:rsidRPr="00CC7A23" w:rsidRDefault="00CC7A23" w:rsidP="00A37FE1">
      <w:pPr>
        <w:rPr>
          <w:lang w:val="en-US" w:eastAsia="zh-CN"/>
        </w:rPr>
      </w:pPr>
    </w:p>
    <w:p w14:paraId="2629A82F"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725C9D9" w14:textId="77777777" w:rsidR="00571C34" w:rsidRDefault="00571C34" w:rsidP="00007145">
      <w:pPr>
        <w:rPr>
          <w:lang w:val="en-US" w:eastAsia="zh-CN"/>
        </w:rPr>
      </w:pPr>
      <w:bookmarkStart w:id="21" w:name="OLE_LINK426"/>
      <w:r w:rsidRPr="000A5D92">
        <w:rPr>
          <w:lang w:eastAsia="zh-CN"/>
        </w:rPr>
        <w:t>I</w:t>
      </w:r>
      <w:r w:rsidRPr="000A5D92">
        <w:rPr>
          <w:rFonts w:hint="eastAsia"/>
          <w:lang w:eastAsia="zh-CN"/>
        </w:rPr>
        <w:t xml:space="preserve">n this </w:t>
      </w:r>
      <w:r w:rsidRPr="000A5D92">
        <w:rPr>
          <w:lang w:eastAsia="zh-CN"/>
        </w:rPr>
        <w:t xml:space="preserve">paper, </w:t>
      </w:r>
      <w:r w:rsidR="00323B8E" w:rsidRPr="00323B8E">
        <w:rPr>
          <w:lang w:val="en-US" w:eastAsia="zh-CN"/>
        </w:rPr>
        <w:t>our views about RF requirements in WI [1] are provided for discussion</w:t>
      </w:r>
      <w:r w:rsidRPr="000A5D92">
        <w:rPr>
          <w:rFonts w:hint="eastAsia"/>
          <w:lang w:val="en-US" w:eastAsia="zh-CN"/>
        </w:rPr>
        <w:t>:</w:t>
      </w:r>
    </w:p>
    <w:bookmarkEnd w:id="21"/>
    <w:p w14:paraId="6FBD5B34" w14:textId="77777777" w:rsidR="00323B8E" w:rsidRDefault="00323B8E" w:rsidP="00323B8E">
      <w:pPr>
        <w:rPr>
          <w:b/>
          <w:bCs/>
          <w:i/>
          <w:iCs/>
        </w:rPr>
      </w:pPr>
      <w:r>
        <w:rPr>
          <w:b/>
          <w:bCs/>
          <w:i/>
          <w:iCs/>
        </w:rPr>
        <w:t xml:space="preserve">Observation 1: When the aggressor NTN UE UL increases the maximum TX power (e.g., change TX power from PC3 to PC2), scenarios 4 and 5 are relevant to NTN UE ACLR requirement as indicated in TR 38.863 Table 6.5.1-3. Currently, in WI [1], it mentions that evaluation focuses on NTN UL aggressor to TN UL victim (i.e., scenario 4) and does not need evaluation about NTN UL aggressor to TN DL victim (i.e., scenario 5). </w:t>
      </w:r>
    </w:p>
    <w:p w14:paraId="4E60BDC5" w14:textId="77777777" w:rsidR="00323B8E" w:rsidRDefault="00323B8E" w:rsidP="00323B8E">
      <w:pPr>
        <w:rPr>
          <w:b/>
          <w:bCs/>
          <w:i/>
          <w:iCs/>
        </w:rPr>
      </w:pPr>
      <w:r>
        <w:rPr>
          <w:b/>
          <w:bCs/>
          <w:i/>
          <w:iCs/>
        </w:rPr>
        <w:t xml:space="preserve">Observation 2: ACLR requirement evaluation for scenario 5 is also important for TN-bands DL protection. Scenario-5 ACLR value also affects UE-UE coexistence A-MPR results. </w:t>
      </w:r>
    </w:p>
    <w:p w14:paraId="705D0D59" w14:textId="77777777" w:rsidR="00323B8E" w:rsidRDefault="00323B8E" w:rsidP="00323B8E">
      <w:pPr>
        <w:rPr>
          <w:b/>
          <w:bCs/>
          <w:i/>
          <w:iCs/>
        </w:rPr>
      </w:pPr>
      <w:r>
        <w:rPr>
          <w:b/>
          <w:bCs/>
          <w:i/>
          <w:iCs/>
        </w:rPr>
        <w:t xml:space="preserve">Proposal 1: To clarify whether ACLR evaluation for scenario 5 would be needed as well.  </w:t>
      </w:r>
    </w:p>
    <w:p w14:paraId="3CD606EB" w14:textId="77777777" w:rsidR="00323B8E" w:rsidRPr="00323B8E" w:rsidRDefault="00323B8E" w:rsidP="00323B8E">
      <w:pPr>
        <w:rPr>
          <w:rFonts w:eastAsia="新細明體"/>
          <w:lang w:eastAsia="zh-TW"/>
        </w:rPr>
      </w:pPr>
    </w:p>
    <w:p w14:paraId="79D43B50" w14:textId="77777777" w:rsidR="00323B8E" w:rsidRDefault="00323B8E" w:rsidP="00323B8E">
      <w:pPr>
        <w:rPr>
          <w:b/>
          <w:bCs/>
          <w:i/>
          <w:iCs/>
        </w:rPr>
      </w:pPr>
      <w:r>
        <w:rPr>
          <w:b/>
          <w:bCs/>
          <w:i/>
          <w:iCs/>
        </w:rPr>
        <w:t>Observation 3: Scenario-1 evaluation is relevant to NTN UE ACS. Evaluation of scenarios 2 and 6 is relevant to NTN SAN ACS.</w:t>
      </w:r>
    </w:p>
    <w:p w14:paraId="5DF45303" w14:textId="77777777" w:rsidR="00323B8E" w:rsidRDefault="00323B8E" w:rsidP="00323B8E">
      <w:pPr>
        <w:rPr>
          <w:b/>
          <w:bCs/>
          <w:i/>
          <w:iCs/>
        </w:rPr>
      </w:pPr>
      <w:r>
        <w:rPr>
          <w:b/>
          <w:bCs/>
          <w:i/>
          <w:iCs/>
        </w:rPr>
        <w:t>Observation 4: In WI [1], it mentions that ACS evaluation would be needed. It is ambiguous whether the ACS evaluation would be for NTN UE ACS or NTN SAN ACS.</w:t>
      </w:r>
    </w:p>
    <w:p w14:paraId="01218A1D" w14:textId="77777777" w:rsidR="00323B8E" w:rsidRDefault="00323B8E" w:rsidP="00323B8E">
      <w:pPr>
        <w:rPr>
          <w:b/>
          <w:bCs/>
          <w:i/>
          <w:iCs/>
        </w:rPr>
      </w:pPr>
      <w:r>
        <w:rPr>
          <w:b/>
          <w:bCs/>
          <w:i/>
          <w:iCs/>
        </w:rPr>
        <w:t xml:space="preserve">Observation 5: Additionally, regarding NTN HPUE, the purpose is to evaluate the NTN-HPUE aggressor impact on the victim uplink performance of TN. It is ambiguous whether ACS evaluation would be necessary. </w:t>
      </w:r>
    </w:p>
    <w:p w14:paraId="7EBC1CD9" w14:textId="77777777" w:rsidR="00323B8E" w:rsidRDefault="00323B8E" w:rsidP="00323B8E">
      <w:pPr>
        <w:rPr>
          <w:b/>
          <w:bCs/>
          <w:i/>
          <w:iCs/>
        </w:rPr>
      </w:pPr>
      <w:r>
        <w:rPr>
          <w:b/>
          <w:bCs/>
          <w:i/>
          <w:iCs/>
        </w:rPr>
        <w:t xml:space="preserve">Proposal 2: Clarify whether the ACS evaluation would be for NTN-UE ACS or NTN-SAN ACS. Or clarify whether ACS evaluation would be necessary. </w:t>
      </w:r>
    </w:p>
    <w:p w14:paraId="11ABB862" w14:textId="77777777" w:rsidR="00AF2EDF" w:rsidRPr="00940191" w:rsidRDefault="00AF2EDF" w:rsidP="00007145">
      <w:pPr>
        <w:rPr>
          <w:lang w:eastAsia="zh-CN"/>
        </w:rPr>
      </w:pPr>
    </w:p>
    <w:p w14:paraId="03CD36E3" w14:textId="77777777" w:rsidR="00571C34" w:rsidRDefault="00571C34" w:rsidP="00044480">
      <w:pPr>
        <w:pStyle w:val="1"/>
        <w:spacing w:before="0" w:after="120"/>
        <w:ind w:left="420" w:hanging="420"/>
        <w:rPr>
          <w:b/>
          <w:sz w:val="28"/>
          <w:szCs w:val="24"/>
          <w:lang w:eastAsia="zh-CN"/>
        </w:rPr>
      </w:pPr>
      <w:r>
        <w:rPr>
          <w:rFonts w:hint="eastAsia"/>
          <w:b/>
          <w:sz w:val="28"/>
          <w:szCs w:val="24"/>
          <w:lang w:eastAsia="zh-CN"/>
        </w:rPr>
        <w:t>Reference</w:t>
      </w:r>
    </w:p>
    <w:p w14:paraId="72BF472D" w14:textId="77777777" w:rsidR="0091354D" w:rsidRDefault="0091354D" w:rsidP="0091354D">
      <w:pPr>
        <w:numPr>
          <w:ilvl w:val="0"/>
          <w:numId w:val="44"/>
        </w:numPr>
        <w:rPr>
          <w:lang w:val="en-US" w:eastAsia="zh-CN"/>
        </w:rPr>
      </w:pPr>
      <w:bookmarkStart w:id="22" w:name="OLE_LINK436"/>
      <w:bookmarkStart w:id="23" w:name="OLE_LINK185"/>
      <w:bookmarkEnd w:id="0"/>
      <w:r>
        <w:rPr>
          <w:lang w:val="en-US" w:eastAsia="zh-CN"/>
        </w:rPr>
        <w:t>RP-2408</w:t>
      </w:r>
      <w:bookmarkEnd w:id="22"/>
      <w:r>
        <w:rPr>
          <w:lang w:val="en-US" w:eastAsia="zh-CN"/>
        </w:rPr>
        <w:t>57</w:t>
      </w:r>
      <w:bookmarkEnd w:id="23"/>
      <w:r>
        <w:rPr>
          <w:lang w:val="en-US" w:eastAsia="zh-CN"/>
        </w:rPr>
        <w:t>, “New WID: Enhanced requirements and test methodology for NR and IoT NTN”, Huawei</w:t>
      </w:r>
    </w:p>
    <w:p w14:paraId="2F1A89B4" w14:textId="77777777" w:rsidR="008821F9" w:rsidRPr="00CB3A5D" w:rsidRDefault="0091354D" w:rsidP="00CB3A5D">
      <w:pPr>
        <w:numPr>
          <w:ilvl w:val="0"/>
          <w:numId w:val="44"/>
        </w:numPr>
        <w:rPr>
          <w:rFonts w:eastAsia="新細明體"/>
          <w:lang w:val="en-US" w:eastAsia="zh-TW"/>
        </w:rPr>
      </w:pPr>
      <w:bookmarkStart w:id="24" w:name="OLE_LINK235"/>
      <w:bookmarkStart w:id="25" w:name="OLE_LINK242"/>
      <w:r>
        <w:rPr>
          <w:rFonts w:eastAsia="新細明體"/>
          <w:lang w:val="en-US" w:eastAsia="zh-TW"/>
        </w:rPr>
        <w:t>T</w:t>
      </w:r>
      <w:r w:rsidR="000E1A7A">
        <w:rPr>
          <w:rFonts w:eastAsia="新細明體"/>
          <w:lang w:val="en-US" w:eastAsia="zh-TW"/>
        </w:rPr>
        <w:t>R</w:t>
      </w:r>
      <w:r>
        <w:rPr>
          <w:rFonts w:eastAsia="新細明體"/>
          <w:lang w:val="en-US" w:eastAsia="zh-TW"/>
        </w:rPr>
        <w:t xml:space="preserve"> 38.</w:t>
      </w:r>
      <w:r w:rsidR="000E1A7A">
        <w:rPr>
          <w:rFonts w:eastAsia="新細明體"/>
          <w:lang w:val="en-US" w:eastAsia="zh-TW"/>
        </w:rPr>
        <w:t>863</w:t>
      </w:r>
      <w:r>
        <w:rPr>
          <w:rFonts w:eastAsia="新細明體"/>
          <w:lang w:val="en-US" w:eastAsia="zh-TW"/>
        </w:rPr>
        <w:t>, “</w:t>
      </w:r>
      <w:r w:rsidR="00CB3A5D" w:rsidRPr="00CB3A5D">
        <w:rPr>
          <w:rFonts w:eastAsia="新細明體"/>
          <w:lang w:val="en-US" w:eastAsia="zh-TW"/>
        </w:rPr>
        <w:t>Solutions for NR to support non-terrestrial networks (NTN):</w:t>
      </w:r>
      <w:r w:rsidR="00CB3A5D">
        <w:rPr>
          <w:rFonts w:eastAsia="新細明體" w:hint="eastAsia"/>
          <w:lang w:val="en-US" w:eastAsia="zh-TW"/>
        </w:rPr>
        <w:t xml:space="preserve"> </w:t>
      </w:r>
      <w:r w:rsidR="00CB3A5D" w:rsidRPr="00CB3A5D">
        <w:rPr>
          <w:rFonts w:eastAsia="新細明體"/>
          <w:lang w:val="en-US" w:eastAsia="zh-TW"/>
        </w:rPr>
        <w:t>Non-terrestrial networks (NTN) related RF and co-existence aspects</w:t>
      </w:r>
      <w:r w:rsidRPr="00CB3A5D">
        <w:rPr>
          <w:rFonts w:eastAsia="新細明體"/>
          <w:lang w:val="en-US" w:eastAsia="zh-TW"/>
        </w:rPr>
        <w:t>”</w:t>
      </w:r>
      <w:bookmarkEnd w:id="24"/>
      <w:bookmarkEnd w:id="25"/>
    </w:p>
    <w:sectPr w:rsidR="008821F9" w:rsidRPr="00CB3A5D"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DD977" w14:textId="77777777" w:rsidR="00A135E7" w:rsidRDefault="00A135E7">
      <w:pPr>
        <w:spacing w:after="0"/>
      </w:pPr>
      <w:r>
        <w:separator/>
      </w:r>
    </w:p>
  </w:endnote>
  <w:endnote w:type="continuationSeparator" w:id="0">
    <w:p w14:paraId="41E90831" w14:textId="77777777" w:rsidR="00A135E7" w:rsidRDefault="00A13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Yu Mincho">
    <w:altName w:val="MS Gothic"/>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5F05" w14:textId="77777777" w:rsidR="00A135E7" w:rsidRDefault="00A135E7">
      <w:pPr>
        <w:spacing w:after="0"/>
      </w:pPr>
      <w:r>
        <w:separator/>
      </w:r>
    </w:p>
  </w:footnote>
  <w:footnote w:type="continuationSeparator" w:id="0">
    <w:p w14:paraId="3AD70B9C" w14:textId="77777777" w:rsidR="00A135E7" w:rsidRDefault="00A135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56072"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588078010">
    <w:abstractNumId w:val="16"/>
  </w:num>
  <w:num w:numId="2" w16cid:durableId="2102750353">
    <w:abstractNumId w:val="0"/>
  </w:num>
  <w:num w:numId="3" w16cid:durableId="1093284770">
    <w:abstractNumId w:val="1"/>
  </w:num>
  <w:num w:numId="4" w16cid:durableId="225066379">
    <w:abstractNumId w:val="2"/>
  </w:num>
  <w:num w:numId="5" w16cid:durableId="762800532">
    <w:abstractNumId w:val="6"/>
  </w:num>
  <w:num w:numId="6" w16cid:durableId="550729715">
    <w:abstractNumId w:val="20"/>
  </w:num>
  <w:num w:numId="7" w16cid:durableId="1095197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2837007">
    <w:abstractNumId w:val="22"/>
  </w:num>
  <w:num w:numId="9" w16cid:durableId="267086056">
    <w:abstractNumId w:val="29"/>
  </w:num>
  <w:num w:numId="10" w16cid:durableId="121327677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53899478">
    <w:abstractNumId w:val="36"/>
  </w:num>
  <w:num w:numId="12" w16cid:durableId="2088385060">
    <w:abstractNumId w:val="11"/>
  </w:num>
  <w:num w:numId="13" w16cid:durableId="672299771">
    <w:abstractNumId w:val="32"/>
  </w:num>
  <w:num w:numId="14" w16cid:durableId="1146583818">
    <w:abstractNumId w:val="30"/>
  </w:num>
  <w:num w:numId="15" w16cid:durableId="1967153413">
    <w:abstractNumId w:val="31"/>
  </w:num>
  <w:num w:numId="16" w16cid:durableId="982923979">
    <w:abstractNumId w:val="10"/>
  </w:num>
  <w:num w:numId="17" w16cid:durableId="1124151483">
    <w:abstractNumId w:val="5"/>
  </w:num>
  <w:num w:numId="18" w16cid:durableId="857279631">
    <w:abstractNumId w:val="3"/>
  </w:num>
  <w:num w:numId="19" w16cid:durableId="217522957">
    <w:abstractNumId w:val="18"/>
  </w:num>
  <w:num w:numId="20" w16cid:durableId="1406687994">
    <w:abstractNumId w:val="14"/>
  </w:num>
  <w:num w:numId="21" w16cid:durableId="1841895769">
    <w:abstractNumId w:val="19"/>
  </w:num>
  <w:num w:numId="22" w16cid:durableId="281687481">
    <w:abstractNumId w:val="13"/>
  </w:num>
  <w:num w:numId="23" w16cid:durableId="886457191">
    <w:abstractNumId w:val="35"/>
  </w:num>
  <w:num w:numId="24" w16cid:durableId="2046904493">
    <w:abstractNumId w:val="24"/>
  </w:num>
  <w:num w:numId="25" w16cid:durableId="1601524419">
    <w:abstractNumId w:val="34"/>
  </w:num>
  <w:num w:numId="26" w16cid:durableId="1229263324">
    <w:abstractNumId w:val="15"/>
  </w:num>
  <w:num w:numId="27" w16cid:durableId="1383216057">
    <w:abstractNumId w:val="17"/>
  </w:num>
  <w:num w:numId="28" w16cid:durableId="2048986479">
    <w:abstractNumId w:val="23"/>
  </w:num>
  <w:num w:numId="29" w16cid:durableId="311183642">
    <w:abstractNumId w:val="28"/>
  </w:num>
  <w:num w:numId="30" w16cid:durableId="981153757">
    <w:abstractNumId w:val="9"/>
  </w:num>
  <w:num w:numId="31" w16cid:durableId="1648169961">
    <w:abstractNumId w:val="21"/>
  </w:num>
  <w:num w:numId="32" w16cid:durableId="191573849">
    <w:abstractNumId w:val="9"/>
  </w:num>
  <w:num w:numId="33" w16cid:durableId="620889108">
    <w:abstractNumId w:val="12"/>
  </w:num>
  <w:num w:numId="34" w16cid:durableId="659623451">
    <w:abstractNumId w:val="4"/>
  </w:num>
  <w:num w:numId="35" w16cid:durableId="1564680963">
    <w:abstractNumId w:val="26"/>
  </w:num>
  <w:num w:numId="36" w16cid:durableId="187696495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8406165">
    <w:abstractNumId w:val="27"/>
  </w:num>
  <w:num w:numId="38" w16cid:durableId="428427376">
    <w:abstractNumId w:val="25"/>
  </w:num>
  <w:num w:numId="39" w16cid:durableId="810631180">
    <w:abstractNumId w:val="7"/>
  </w:num>
  <w:num w:numId="40" w16cid:durableId="1048720906">
    <w:abstractNumId w:val="7"/>
  </w:num>
  <w:num w:numId="41" w16cid:durableId="1847673370">
    <w:abstractNumId w:val="25"/>
  </w:num>
  <w:num w:numId="42" w16cid:durableId="684794488">
    <w:abstractNumId w:val="33"/>
  </w:num>
  <w:num w:numId="43" w16cid:durableId="201603418">
    <w:abstractNumId w:val="33"/>
  </w:num>
  <w:num w:numId="44" w16cid:durableId="159378193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35F1F"/>
    <w:rsid w:val="00037EF7"/>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5D92"/>
    <w:rsid w:val="000A6394"/>
    <w:rsid w:val="000A7788"/>
    <w:rsid w:val="000B0134"/>
    <w:rsid w:val="000B05C9"/>
    <w:rsid w:val="000B05D5"/>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1A7A"/>
    <w:rsid w:val="000E27C9"/>
    <w:rsid w:val="000E38B9"/>
    <w:rsid w:val="000E512F"/>
    <w:rsid w:val="000E6883"/>
    <w:rsid w:val="000E7850"/>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2340"/>
    <w:rsid w:val="001232FB"/>
    <w:rsid w:val="00127CD7"/>
    <w:rsid w:val="00132BF4"/>
    <w:rsid w:val="00133C8D"/>
    <w:rsid w:val="00134136"/>
    <w:rsid w:val="00141D30"/>
    <w:rsid w:val="00143179"/>
    <w:rsid w:val="00144C26"/>
    <w:rsid w:val="00145D43"/>
    <w:rsid w:val="001506CE"/>
    <w:rsid w:val="00151C0E"/>
    <w:rsid w:val="00153979"/>
    <w:rsid w:val="0016163E"/>
    <w:rsid w:val="001618D4"/>
    <w:rsid w:val="001620D2"/>
    <w:rsid w:val="00163DD4"/>
    <w:rsid w:val="00166473"/>
    <w:rsid w:val="001667D6"/>
    <w:rsid w:val="001677B3"/>
    <w:rsid w:val="00171ED1"/>
    <w:rsid w:val="00172A27"/>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3BDB"/>
    <w:rsid w:val="001B7A65"/>
    <w:rsid w:val="001B7A9B"/>
    <w:rsid w:val="001B7F1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2863"/>
    <w:rsid w:val="0031632E"/>
    <w:rsid w:val="003175A5"/>
    <w:rsid w:val="0032119C"/>
    <w:rsid w:val="00323B8E"/>
    <w:rsid w:val="003257F3"/>
    <w:rsid w:val="0032748B"/>
    <w:rsid w:val="00331C12"/>
    <w:rsid w:val="00333122"/>
    <w:rsid w:val="00333439"/>
    <w:rsid w:val="00335228"/>
    <w:rsid w:val="003367EE"/>
    <w:rsid w:val="00343F87"/>
    <w:rsid w:val="003503E8"/>
    <w:rsid w:val="003505ED"/>
    <w:rsid w:val="003540B7"/>
    <w:rsid w:val="00355BEB"/>
    <w:rsid w:val="00356E63"/>
    <w:rsid w:val="00357F7A"/>
    <w:rsid w:val="00362D7E"/>
    <w:rsid w:val="00365064"/>
    <w:rsid w:val="0037188C"/>
    <w:rsid w:val="00373A74"/>
    <w:rsid w:val="00374ADE"/>
    <w:rsid w:val="00375962"/>
    <w:rsid w:val="00380D3B"/>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4BB0"/>
    <w:rsid w:val="004650AC"/>
    <w:rsid w:val="004674A5"/>
    <w:rsid w:val="00470BCA"/>
    <w:rsid w:val="00471D7F"/>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3134"/>
    <w:rsid w:val="004E4750"/>
    <w:rsid w:val="004E5010"/>
    <w:rsid w:val="004E6375"/>
    <w:rsid w:val="004E7D5A"/>
    <w:rsid w:val="004F1B16"/>
    <w:rsid w:val="004F249E"/>
    <w:rsid w:val="004F2894"/>
    <w:rsid w:val="004F4D7B"/>
    <w:rsid w:val="004F5DA7"/>
    <w:rsid w:val="004F6BB0"/>
    <w:rsid w:val="005007D4"/>
    <w:rsid w:val="00500DCA"/>
    <w:rsid w:val="00503C65"/>
    <w:rsid w:val="00511426"/>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4560"/>
    <w:rsid w:val="00544920"/>
    <w:rsid w:val="00545193"/>
    <w:rsid w:val="00550584"/>
    <w:rsid w:val="00551D77"/>
    <w:rsid w:val="00552F03"/>
    <w:rsid w:val="0055361F"/>
    <w:rsid w:val="00553D92"/>
    <w:rsid w:val="00557844"/>
    <w:rsid w:val="00563747"/>
    <w:rsid w:val="00563958"/>
    <w:rsid w:val="00564BCD"/>
    <w:rsid w:val="00564F2B"/>
    <w:rsid w:val="00570E29"/>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5C6C"/>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D4F"/>
    <w:rsid w:val="006131A0"/>
    <w:rsid w:val="00620242"/>
    <w:rsid w:val="00621188"/>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3475"/>
    <w:rsid w:val="006771EA"/>
    <w:rsid w:val="0068013A"/>
    <w:rsid w:val="00682099"/>
    <w:rsid w:val="00683E1C"/>
    <w:rsid w:val="00683ECF"/>
    <w:rsid w:val="006867BC"/>
    <w:rsid w:val="00686F80"/>
    <w:rsid w:val="006903E1"/>
    <w:rsid w:val="00695808"/>
    <w:rsid w:val="00695C4D"/>
    <w:rsid w:val="006A0722"/>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BE6"/>
    <w:rsid w:val="006C4070"/>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10725"/>
    <w:rsid w:val="0071242D"/>
    <w:rsid w:val="0071711E"/>
    <w:rsid w:val="00717A4C"/>
    <w:rsid w:val="0072015A"/>
    <w:rsid w:val="00720954"/>
    <w:rsid w:val="0072409A"/>
    <w:rsid w:val="00724AC8"/>
    <w:rsid w:val="007264F7"/>
    <w:rsid w:val="00732338"/>
    <w:rsid w:val="007333FA"/>
    <w:rsid w:val="00733CCF"/>
    <w:rsid w:val="00735E53"/>
    <w:rsid w:val="007375CD"/>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B0B"/>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6F89"/>
    <w:rsid w:val="0082783B"/>
    <w:rsid w:val="008279FA"/>
    <w:rsid w:val="00833728"/>
    <w:rsid w:val="00835025"/>
    <w:rsid w:val="00835925"/>
    <w:rsid w:val="008417CA"/>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821F9"/>
    <w:rsid w:val="00890CB1"/>
    <w:rsid w:val="00891260"/>
    <w:rsid w:val="00894CAC"/>
    <w:rsid w:val="00896A6A"/>
    <w:rsid w:val="008A079F"/>
    <w:rsid w:val="008A1A76"/>
    <w:rsid w:val="008A4A53"/>
    <w:rsid w:val="008A606E"/>
    <w:rsid w:val="008A749A"/>
    <w:rsid w:val="008A7A81"/>
    <w:rsid w:val="008B013C"/>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2C27"/>
    <w:rsid w:val="008E4D25"/>
    <w:rsid w:val="008E4E16"/>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35E7"/>
    <w:rsid w:val="00A14569"/>
    <w:rsid w:val="00A17928"/>
    <w:rsid w:val="00A17B74"/>
    <w:rsid w:val="00A2411A"/>
    <w:rsid w:val="00A246B6"/>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352"/>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51B"/>
    <w:rsid w:val="00AD48E2"/>
    <w:rsid w:val="00AE2919"/>
    <w:rsid w:val="00AE2CED"/>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421E"/>
    <w:rsid w:val="00B2580A"/>
    <w:rsid w:val="00B258BB"/>
    <w:rsid w:val="00B25C53"/>
    <w:rsid w:val="00B310B7"/>
    <w:rsid w:val="00B33E33"/>
    <w:rsid w:val="00B343D2"/>
    <w:rsid w:val="00B343E7"/>
    <w:rsid w:val="00B36283"/>
    <w:rsid w:val="00B3669B"/>
    <w:rsid w:val="00B375F0"/>
    <w:rsid w:val="00B4070D"/>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0355"/>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A46A1"/>
    <w:rsid w:val="00CB3A5D"/>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0C6"/>
    <w:rsid w:val="00D13EF6"/>
    <w:rsid w:val="00D15B8B"/>
    <w:rsid w:val="00D2091E"/>
    <w:rsid w:val="00D2590D"/>
    <w:rsid w:val="00D266F5"/>
    <w:rsid w:val="00D275DD"/>
    <w:rsid w:val="00D32A5D"/>
    <w:rsid w:val="00D34CDF"/>
    <w:rsid w:val="00D35B6D"/>
    <w:rsid w:val="00D402EC"/>
    <w:rsid w:val="00D44816"/>
    <w:rsid w:val="00D47277"/>
    <w:rsid w:val="00D50632"/>
    <w:rsid w:val="00D50D28"/>
    <w:rsid w:val="00D51FF6"/>
    <w:rsid w:val="00D54DB2"/>
    <w:rsid w:val="00D55512"/>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5C17"/>
    <w:rsid w:val="00E91B2D"/>
    <w:rsid w:val="00E9399D"/>
    <w:rsid w:val="00E94FD0"/>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44552"/>
    <w:rsid w:val="00F526AF"/>
    <w:rsid w:val="00F52CBA"/>
    <w:rsid w:val="00F52EC7"/>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77D3E"/>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2E1B"/>
    <w:rsid w:val="00FD43B3"/>
    <w:rsid w:val="00FD4DBE"/>
    <w:rsid w:val="00FE006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9047A"/>
  <w15:chartTrackingRefBased/>
  <w15:docId w15:val="{B3A61357-AA6D-4B96-9708-F4D70E05A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qFormat/>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 w:type="table" w:customStyle="1" w:styleId="13">
    <w:name w:val="网格型1"/>
    <w:basedOn w:val="a1"/>
    <w:qFormat/>
    <w:rsid w:val="000E7850"/>
    <w:pPr>
      <w:overflowPunct w:val="0"/>
      <w:autoSpaceDE w:val="0"/>
      <w:autoSpaceDN w:val="0"/>
      <w:adjustRightInd w:val="0"/>
      <w:spacing w:after="180"/>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8923265">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29897991">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6447714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66877784">
      <w:bodyDiv w:val="1"/>
      <w:marLeft w:val="0"/>
      <w:marRight w:val="0"/>
      <w:marTop w:val="0"/>
      <w:marBottom w:val="0"/>
      <w:divBdr>
        <w:top w:val="none" w:sz="0" w:space="0" w:color="auto"/>
        <w:left w:val="none" w:sz="0" w:space="0" w:color="auto"/>
        <w:bottom w:val="none" w:sz="0" w:space="0" w:color="auto"/>
        <w:right w:val="none" w:sz="0" w:space="0" w:color="auto"/>
      </w:divBdr>
    </w:div>
    <w:div w:id="177432378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1051</Words>
  <Characters>5997</Characters>
  <Application>Microsoft Office Word</Application>
  <DocSecurity>0</DocSecurity>
  <Lines>49</Lines>
  <Paragraphs>14</Paragraphs>
  <ScaleCrop>false</ScaleCrop>
  <Company>MTK</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3</cp:revision>
  <dcterms:created xsi:type="dcterms:W3CDTF">2024-08-09T03:25:00Z</dcterms:created>
  <dcterms:modified xsi:type="dcterms:W3CDTF">2024-08-09T06:59:00Z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